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4A29" w14:textId="2E24A324" w:rsidR="0009674A" w:rsidRPr="00FA1BCA" w:rsidRDefault="0009674A" w:rsidP="0009674A">
      <w:pPr>
        <w:pStyle w:val="Header"/>
      </w:pPr>
      <w:bookmarkStart w:id="0" w:name="_Toc379875013"/>
      <w:bookmarkStart w:id="1" w:name="_Toc380152333"/>
      <w:r>
        <w:rPr>
          <w:noProof/>
        </w:rPr>
        <w:drawing>
          <wp:anchor distT="0" distB="0" distL="114300" distR="114300" simplePos="0" relativeHeight="251657216" behindDoc="1" locked="0" layoutInCell="1" allowOverlap="1" wp14:anchorId="379537DD" wp14:editId="346B3C94">
            <wp:simplePos x="0" y="0"/>
            <wp:positionH relativeFrom="column">
              <wp:posOffset>5249545</wp:posOffset>
            </wp:positionH>
            <wp:positionV relativeFrom="paragraph">
              <wp:posOffset>-826770</wp:posOffset>
            </wp:positionV>
            <wp:extent cx="1332865" cy="1123950"/>
            <wp:effectExtent l="0" t="0" r="635" b="0"/>
            <wp:wrapNone/>
            <wp:docPr id="3" name="Picture 3" descr="TAFE SA GOSA Logo Corporate - Stacked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FE SA GOSA Logo Corporate - Stacked Sp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>
        <w:tab/>
      </w:r>
      <w:r>
        <w:tab/>
      </w:r>
    </w:p>
    <w:p w14:paraId="78D6F2B7" w14:textId="77777777" w:rsidR="009421C6" w:rsidRDefault="009421C6" w:rsidP="008C67AE"/>
    <w:p w14:paraId="14BFF231" w14:textId="77777777" w:rsidR="009421C6" w:rsidRPr="00AE1435" w:rsidRDefault="009421C6" w:rsidP="009421C6">
      <w:pPr>
        <w:rPr>
          <w:sz w:val="12"/>
          <w:szCs w:val="12"/>
        </w:rPr>
      </w:pPr>
    </w:p>
    <w:p w14:paraId="22BAF9B3" w14:textId="77777777" w:rsidR="009421C6" w:rsidRPr="00293901" w:rsidRDefault="009421C6" w:rsidP="009421C6">
      <w:pPr>
        <w:tabs>
          <w:tab w:val="right" w:pos="10206"/>
        </w:tabs>
        <w:rPr>
          <w:rFonts w:cs="Arial"/>
          <w:spacing w:val="40"/>
          <w:position w:val="-6"/>
          <w:sz w:val="100"/>
          <w:szCs w:val="100"/>
        </w:rPr>
      </w:pPr>
      <w:r w:rsidRPr="00293901">
        <w:rPr>
          <w:rFonts w:cs="Arial"/>
          <w:spacing w:val="40"/>
          <w:position w:val="-6"/>
          <w:sz w:val="100"/>
          <w:szCs w:val="100"/>
        </w:rPr>
        <w:t>POLICY</w:t>
      </w:r>
    </w:p>
    <w:p w14:paraId="7A0A0ED5" w14:textId="5C7DF906" w:rsidR="009421C6" w:rsidRPr="00831CD9" w:rsidRDefault="009421C6" w:rsidP="009421C6">
      <w:pPr>
        <w:tabs>
          <w:tab w:val="right" w:pos="9498"/>
        </w:tabs>
        <w:jc w:val="right"/>
        <w:rPr>
          <w:sz w:val="18"/>
          <w:szCs w:val="18"/>
        </w:rPr>
      </w:pPr>
      <w:r>
        <w:rPr>
          <w:rFonts w:cs="Arial"/>
          <w:szCs w:val="22"/>
        </w:rPr>
        <w:t>PPMF</w:t>
      </w:r>
      <w:r>
        <w:t xml:space="preserve"> | TAFESA | </w:t>
      </w:r>
      <w:r w:rsidR="00004669">
        <w:t>1075</w:t>
      </w:r>
      <w:r w:rsidRPr="00831CD9">
        <w:t xml:space="preserve"> </w:t>
      </w:r>
    </w:p>
    <w:p w14:paraId="6EE7F42B" w14:textId="77777777" w:rsidR="009421C6" w:rsidRPr="004D7D9A" w:rsidRDefault="009421C6" w:rsidP="009421C6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8221"/>
      </w:tblGrid>
      <w:tr w:rsidR="009421C6" w:rsidRPr="001E33E5" w14:paraId="3D677716" w14:textId="77777777" w:rsidTr="00B86C97">
        <w:trPr>
          <w:trHeight w:hRule="exact" w:val="644"/>
        </w:trPr>
        <w:tc>
          <w:tcPr>
            <w:tcW w:w="198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38EF9F3" w14:textId="77777777" w:rsidR="009421C6" w:rsidRPr="00354568" w:rsidRDefault="009421C6" w:rsidP="00B86C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354568">
              <w:rPr>
                <w:rFonts w:ascii="Arial" w:hAnsi="Arial" w:cs="Arial"/>
                <w:b/>
                <w:sz w:val="32"/>
                <w:szCs w:val="32"/>
              </w:rPr>
              <w:t>Title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7C182" w14:textId="04DB6CE3" w:rsidR="009421C6" w:rsidRPr="00946408" w:rsidRDefault="005D78D9" w:rsidP="00B86C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Variation in Hours </w:t>
            </w:r>
            <w:r w:rsidR="00143B14">
              <w:rPr>
                <w:rFonts w:ascii="Arial" w:hAnsi="Arial" w:cs="Arial"/>
              </w:rPr>
              <w:t xml:space="preserve">Policy </w:t>
            </w:r>
          </w:p>
        </w:tc>
      </w:tr>
    </w:tbl>
    <w:p w14:paraId="79368D79" w14:textId="77777777" w:rsidR="009421C6" w:rsidRDefault="009421C6" w:rsidP="009421C6"/>
    <w:p w14:paraId="3CDE4654" w14:textId="77777777" w:rsidR="009421C6" w:rsidRPr="00AE1435" w:rsidRDefault="009421C6" w:rsidP="009421C6">
      <w:pPr>
        <w:rPr>
          <w:sz w:val="12"/>
          <w:szCs w:val="12"/>
        </w:rPr>
      </w:pPr>
    </w:p>
    <w:p w14:paraId="363CE998" w14:textId="50F46965" w:rsidR="009421C6" w:rsidRPr="00293901" w:rsidRDefault="009421C6" w:rsidP="009421C6">
      <w:pPr>
        <w:rPr>
          <w:rFonts w:cs="Arial"/>
          <w:b/>
        </w:rPr>
      </w:pPr>
      <w:r w:rsidRPr="00293901">
        <w:rPr>
          <w:rFonts w:cs="Arial"/>
          <w:b/>
        </w:rPr>
        <w:t>Contact Officer</w:t>
      </w:r>
      <w:r w:rsidR="005179DB">
        <w:rPr>
          <w:rFonts w:cs="Arial"/>
          <w:b/>
        </w:rPr>
        <w:t xml:space="preserve"> </w:t>
      </w:r>
      <w:bookmarkStart w:id="2" w:name="_GoBack"/>
      <w:bookmarkEnd w:id="2"/>
    </w:p>
    <w:p w14:paraId="59DA4755" w14:textId="77777777" w:rsidR="009421C6" w:rsidRPr="001E33E5" w:rsidRDefault="009421C6" w:rsidP="009421C6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3861"/>
        <w:gridCol w:w="958"/>
        <w:gridCol w:w="3402"/>
      </w:tblGrid>
      <w:tr w:rsidR="005179DB" w:rsidRPr="00636E35" w14:paraId="34EA9A28" w14:textId="77777777" w:rsidTr="00143B14">
        <w:trPr>
          <w:trHeight w:hRule="exact" w:val="454"/>
        </w:trPr>
        <w:tc>
          <w:tcPr>
            <w:tcW w:w="198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896C773" w14:textId="77777777" w:rsidR="005179DB" w:rsidRPr="00636E3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36E35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8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6E6376" w14:textId="74EB2F86" w:rsidR="005179DB" w:rsidRPr="000E2396" w:rsidRDefault="000A6516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A/Director, Human Resources and Organisational Development</w:t>
            </w:r>
          </w:p>
        </w:tc>
      </w:tr>
      <w:tr w:rsidR="005179DB" w:rsidRPr="00636E35" w14:paraId="27455D8C" w14:textId="77777777" w:rsidTr="00143B14">
        <w:trPr>
          <w:trHeight w:hRule="exact" w:val="57"/>
        </w:trPr>
        <w:tc>
          <w:tcPr>
            <w:tcW w:w="1985" w:type="dxa"/>
            <w:shd w:val="clear" w:color="auto" w:fill="auto"/>
            <w:vAlign w:val="center"/>
          </w:tcPr>
          <w:p w14:paraId="2728C6C7" w14:textId="77777777" w:rsidR="005179DB" w:rsidRPr="00636E3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25E7664" w14:textId="77777777" w:rsidR="005179DB" w:rsidRPr="00636E3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CF0B9B6" w14:textId="77777777" w:rsidR="005179DB" w:rsidRPr="00636E3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A115DBA" w14:textId="77777777" w:rsidR="005179DB" w:rsidRPr="00636E3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179DB" w:rsidRPr="00636E35" w14:paraId="7A4BABE3" w14:textId="77777777" w:rsidTr="00143B14">
        <w:trPr>
          <w:trHeight w:hRule="exact" w:val="473"/>
        </w:trPr>
        <w:tc>
          <w:tcPr>
            <w:tcW w:w="198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B228772" w14:textId="77777777" w:rsidR="005179DB" w:rsidRPr="00636E3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36E35">
              <w:rPr>
                <w:rFonts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B2F41B" w14:textId="54F0369B" w:rsidR="005179DB" w:rsidRPr="00BA65F2" w:rsidRDefault="00BB6C4E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BA65F2">
              <w:rPr>
                <w:rFonts w:cs="Arial"/>
                <w:color w:val="000000"/>
                <w:szCs w:val="22"/>
              </w:rPr>
              <w:t xml:space="preserve">(08) </w:t>
            </w:r>
            <w:r w:rsidR="000A2DD1" w:rsidRPr="00BA65F2">
              <w:rPr>
                <w:rFonts w:cs="Arial"/>
                <w:color w:val="000000"/>
                <w:szCs w:val="22"/>
              </w:rPr>
              <w:t xml:space="preserve">8648 </w:t>
            </w:r>
            <w:r w:rsidRPr="00BA65F2">
              <w:rPr>
                <w:rFonts w:cs="Arial"/>
                <w:color w:val="000000"/>
                <w:szCs w:val="22"/>
              </w:rPr>
              <w:t>8752</w:t>
            </w:r>
          </w:p>
        </w:tc>
      </w:tr>
      <w:tr w:rsidR="005179DB" w:rsidRPr="009D0445" w14:paraId="5C40A860" w14:textId="77777777" w:rsidTr="00143B14">
        <w:trPr>
          <w:trHeight w:hRule="exact" w:val="57"/>
        </w:trPr>
        <w:tc>
          <w:tcPr>
            <w:tcW w:w="198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40E1BE0" w14:textId="77777777" w:rsidR="005179DB" w:rsidRPr="009D044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503651" w14:textId="77777777" w:rsidR="005179DB" w:rsidRPr="009D0445" w:rsidRDefault="005179DB" w:rsidP="00143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928CBC9" w14:textId="77777777" w:rsidR="009421C6" w:rsidRPr="001E33E5" w:rsidRDefault="009421C6" w:rsidP="009421C6"/>
    <w:p w14:paraId="3D1EA7AD" w14:textId="77777777" w:rsidR="009421C6" w:rsidRPr="00AE1435" w:rsidRDefault="009421C6" w:rsidP="009421C6">
      <w:pPr>
        <w:rPr>
          <w:sz w:val="12"/>
          <w:szCs w:val="12"/>
        </w:rPr>
      </w:pPr>
    </w:p>
    <w:p w14:paraId="5C136087" w14:textId="2A92D71A" w:rsidR="009421C6" w:rsidRDefault="009421C6" w:rsidP="009421C6">
      <w:pPr>
        <w:rPr>
          <w:sz w:val="32"/>
          <w:szCs w:val="32"/>
        </w:rPr>
      </w:pPr>
      <w:r w:rsidRPr="003009C3">
        <w:rPr>
          <w:sz w:val="32"/>
          <w:szCs w:val="32"/>
        </w:rPr>
        <w:t>Table of Contents</w:t>
      </w:r>
    </w:p>
    <w:p w14:paraId="5E52DB08" w14:textId="77777777" w:rsidR="00CC1E83" w:rsidRPr="003009C3" w:rsidRDefault="00CC1E83" w:rsidP="009421C6">
      <w:pPr>
        <w:rPr>
          <w:sz w:val="32"/>
          <w:szCs w:val="32"/>
        </w:rPr>
      </w:pPr>
    </w:p>
    <w:p w14:paraId="229F93FC" w14:textId="3EE2F789" w:rsidR="003A4566" w:rsidRDefault="00666A0B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5828942" w:history="1">
        <w:r w:rsidR="003A4566" w:rsidRPr="000F10D1">
          <w:rPr>
            <w:rStyle w:val="Hyperlink"/>
            <w:rFonts w:cs="Arial"/>
            <w:noProof/>
          </w:rPr>
          <w:t>1</w:t>
        </w:r>
        <w:r w:rsidR="003A456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A4566" w:rsidRPr="000F10D1">
          <w:rPr>
            <w:rStyle w:val="Hyperlink"/>
            <w:rFonts w:cs="Arial"/>
            <w:noProof/>
          </w:rPr>
          <w:t>Policy</w:t>
        </w:r>
        <w:r w:rsidR="003A4566">
          <w:rPr>
            <w:noProof/>
            <w:webHidden/>
          </w:rPr>
          <w:tab/>
        </w:r>
        <w:r w:rsidR="003A4566">
          <w:rPr>
            <w:noProof/>
            <w:webHidden/>
          </w:rPr>
          <w:fldChar w:fldCharType="begin"/>
        </w:r>
        <w:r w:rsidR="003A4566">
          <w:rPr>
            <w:noProof/>
            <w:webHidden/>
          </w:rPr>
          <w:instrText xml:space="preserve"> PAGEREF _Toc25828942 \h </w:instrText>
        </w:r>
        <w:r w:rsidR="003A4566">
          <w:rPr>
            <w:noProof/>
            <w:webHidden/>
          </w:rPr>
        </w:r>
        <w:r w:rsidR="003A4566">
          <w:rPr>
            <w:noProof/>
            <w:webHidden/>
          </w:rPr>
          <w:fldChar w:fldCharType="separate"/>
        </w:r>
        <w:r w:rsidR="003A4566">
          <w:rPr>
            <w:noProof/>
            <w:webHidden/>
          </w:rPr>
          <w:t>2</w:t>
        </w:r>
        <w:r w:rsidR="003A4566">
          <w:rPr>
            <w:noProof/>
            <w:webHidden/>
          </w:rPr>
          <w:fldChar w:fldCharType="end"/>
        </w:r>
      </w:hyperlink>
    </w:p>
    <w:p w14:paraId="5EFCE67D" w14:textId="5F6835F6" w:rsidR="003A4566" w:rsidRDefault="00384803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25828943" w:history="1">
        <w:r w:rsidR="003A4566" w:rsidRPr="000F10D1">
          <w:rPr>
            <w:rStyle w:val="Hyperlink"/>
            <w:rFonts w:cs="Arial"/>
            <w:noProof/>
          </w:rPr>
          <w:t>2</w:t>
        </w:r>
        <w:r w:rsidR="003A456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A4566" w:rsidRPr="000F10D1">
          <w:rPr>
            <w:rStyle w:val="Hyperlink"/>
            <w:rFonts w:cs="Arial"/>
            <w:noProof/>
          </w:rPr>
          <w:t>Scope</w:t>
        </w:r>
        <w:r w:rsidR="003A4566">
          <w:rPr>
            <w:noProof/>
            <w:webHidden/>
          </w:rPr>
          <w:tab/>
        </w:r>
        <w:r w:rsidR="003A4566">
          <w:rPr>
            <w:noProof/>
            <w:webHidden/>
          </w:rPr>
          <w:fldChar w:fldCharType="begin"/>
        </w:r>
        <w:r w:rsidR="003A4566">
          <w:rPr>
            <w:noProof/>
            <w:webHidden/>
          </w:rPr>
          <w:instrText xml:space="preserve"> PAGEREF _Toc25828943 \h </w:instrText>
        </w:r>
        <w:r w:rsidR="003A4566">
          <w:rPr>
            <w:noProof/>
            <w:webHidden/>
          </w:rPr>
        </w:r>
        <w:r w:rsidR="003A4566">
          <w:rPr>
            <w:noProof/>
            <w:webHidden/>
          </w:rPr>
          <w:fldChar w:fldCharType="separate"/>
        </w:r>
        <w:r w:rsidR="003A4566">
          <w:rPr>
            <w:noProof/>
            <w:webHidden/>
          </w:rPr>
          <w:t>2</w:t>
        </w:r>
        <w:r w:rsidR="003A4566">
          <w:rPr>
            <w:noProof/>
            <w:webHidden/>
          </w:rPr>
          <w:fldChar w:fldCharType="end"/>
        </w:r>
      </w:hyperlink>
    </w:p>
    <w:p w14:paraId="27232F3D" w14:textId="34EB115B" w:rsidR="003A4566" w:rsidRDefault="00384803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25828944" w:history="1">
        <w:r w:rsidR="003A4566" w:rsidRPr="000F10D1">
          <w:rPr>
            <w:rStyle w:val="Hyperlink"/>
            <w:rFonts w:cs="Arial"/>
            <w:noProof/>
          </w:rPr>
          <w:t>3</w:t>
        </w:r>
        <w:r w:rsidR="003A456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A4566" w:rsidRPr="000F10D1">
          <w:rPr>
            <w:rStyle w:val="Hyperlink"/>
            <w:rFonts w:cs="Arial"/>
            <w:noProof/>
          </w:rPr>
          <w:t>Definitions</w:t>
        </w:r>
        <w:r w:rsidR="003A4566">
          <w:rPr>
            <w:noProof/>
            <w:webHidden/>
          </w:rPr>
          <w:tab/>
        </w:r>
        <w:r w:rsidR="003A4566">
          <w:rPr>
            <w:noProof/>
            <w:webHidden/>
          </w:rPr>
          <w:fldChar w:fldCharType="begin"/>
        </w:r>
        <w:r w:rsidR="003A4566">
          <w:rPr>
            <w:noProof/>
            <w:webHidden/>
          </w:rPr>
          <w:instrText xml:space="preserve"> PAGEREF _Toc25828944 \h </w:instrText>
        </w:r>
        <w:r w:rsidR="003A4566">
          <w:rPr>
            <w:noProof/>
            <w:webHidden/>
          </w:rPr>
        </w:r>
        <w:r w:rsidR="003A4566">
          <w:rPr>
            <w:noProof/>
            <w:webHidden/>
          </w:rPr>
          <w:fldChar w:fldCharType="separate"/>
        </w:r>
        <w:r w:rsidR="003A4566">
          <w:rPr>
            <w:noProof/>
            <w:webHidden/>
          </w:rPr>
          <w:t>2</w:t>
        </w:r>
        <w:r w:rsidR="003A4566">
          <w:rPr>
            <w:noProof/>
            <w:webHidden/>
          </w:rPr>
          <w:fldChar w:fldCharType="end"/>
        </w:r>
      </w:hyperlink>
    </w:p>
    <w:p w14:paraId="0BD80B3C" w14:textId="7D8B233C" w:rsidR="003A4566" w:rsidRDefault="00384803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25828945" w:history="1">
        <w:r w:rsidR="00EA006C" w:rsidRPr="000F10D1">
          <w:rPr>
            <w:rStyle w:val="Hyperlink"/>
            <w:rFonts w:cs="Arial"/>
            <w:noProof/>
          </w:rPr>
          <w:t>4</w:t>
        </w:r>
        <w:r w:rsidR="00EA00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A006C" w:rsidRPr="000F10D1">
          <w:rPr>
            <w:rStyle w:val="Hyperlink"/>
            <w:rFonts w:cs="Arial"/>
            <w:noProof/>
          </w:rPr>
          <w:t>Related policies and procedures</w:t>
        </w:r>
        <w:r w:rsidR="00EA006C">
          <w:rPr>
            <w:noProof/>
            <w:webHidden/>
          </w:rPr>
          <w:tab/>
          <w:t>2</w:t>
        </w:r>
      </w:hyperlink>
    </w:p>
    <w:p w14:paraId="7A33A8A0" w14:textId="5DD3A2DD" w:rsidR="003A4566" w:rsidRDefault="00384803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25828946" w:history="1">
        <w:r w:rsidR="00EA006C" w:rsidRPr="000F10D1">
          <w:rPr>
            <w:rStyle w:val="Hyperlink"/>
            <w:rFonts w:cs="Arial"/>
            <w:noProof/>
          </w:rPr>
          <w:t>5</w:t>
        </w:r>
        <w:r w:rsidR="00EA00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A006C" w:rsidRPr="000F10D1">
          <w:rPr>
            <w:rStyle w:val="Hyperlink"/>
            <w:rFonts w:cs="Arial"/>
            <w:noProof/>
          </w:rPr>
          <w:t>References</w:t>
        </w:r>
        <w:r w:rsidR="00EA006C">
          <w:rPr>
            <w:noProof/>
            <w:webHidden/>
          </w:rPr>
          <w:tab/>
          <w:t>2</w:t>
        </w:r>
      </w:hyperlink>
    </w:p>
    <w:p w14:paraId="2AD90C4B" w14:textId="1B1BF20C" w:rsidR="003A4566" w:rsidRDefault="00384803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25828947" w:history="1">
        <w:r w:rsidR="00EA006C" w:rsidRPr="000F10D1">
          <w:rPr>
            <w:rStyle w:val="Hyperlink"/>
            <w:noProof/>
          </w:rPr>
          <w:t>6</w:t>
        </w:r>
        <w:r w:rsidR="00EA00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A006C" w:rsidRPr="000F10D1">
          <w:rPr>
            <w:rStyle w:val="Hyperlink"/>
            <w:noProof/>
          </w:rPr>
          <w:t>Variation in Hours</w:t>
        </w:r>
        <w:r w:rsidR="00EA006C">
          <w:rPr>
            <w:noProof/>
            <w:webHidden/>
          </w:rPr>
          <w:tab/>
          <w:t>2</w:t>
        </w:r>
      </w:hyperlink>
    </w:p>
    <w:p w14:paraId="63B970FC" w14:textId="3A44E185" w:rsidR="003A4566" w:rsidRDefault="00384803">
      <w:pPr>
        <w:pStyle w:val="TOC2"/>
        <w:tabs>
          <w:tab w:val="left" w:pos="880"/>
          <w:tab w:val="right" w:leader="dot" w:pos="103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5828948" w:history="1">
        <w:r w:rsidR="003A4566" w:rsidRPr="000F10D1">
          <w:rPr>
            <w:rStyle w:val="Hyperlink"/>
            <w:noProof/>
          </w:rPr>
          <w:t>6.1</w:t>
        </w:r>
        <w:r w:rsidR="003A456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A4566" w:rsidRPr="000F10D1">
          <w:rPr>
            <w:rStyle w:val="Hyperlink"/>
            <w:noProof/>
          </w:rPr>
          <w:t>Increasing Hours</w:t>
        </w:r>
        <w:r w:rsidR="003A4566">
          <w:rPr>
            <w:noProof/>
            <w:webHidden/>
          </w:rPr>
          <w:tab/>
        </w:r>
        <w:r w:rsidR="003A4566">
          <w:rPr>
            <w:noProof/>
            <w:webHidden/>
          </w:rPr>
          <w:fldChar w:fldCharType="begin"/>
        </w:r>
        <w:r w:rsidR="003A4566">
          <w:rPr>
            <w:noProof/>
            <w:webHidden/>
          </w:rPr>
          <w:instrText xml:space="preserve"> PAGEREF _Toc25828948 \h </w:instrText>
        </w:r>
        <w:r w:rsidR="003A4566">
          <w:rPr>
            <w:noProof/>
            <w:webHidden/>
          </w:rPr>
        </w:r>
        <w:r w:rsidR="003A4566">
          <w:rPr>
            <w:noProof/>
            <w:webHidden/>
          </w:rPr>
          <w:fldChar w:fldCharType="separate"/>
        </w:r>
        <w:r w:rsidR="003A4566">
          <w:rPr>
            <w:noProof/>
            <w:webHidden/>
          </w:rPr>
          <w:t>3</w:t>
        </w:r>
        <w:r w:rsidR="003A4566">
          <w:rPr>
            <w:noProof/>
            <w:webHidden/>
          </w:rPr>
          <w:fldChar w:fldCharType="end"/>
        </w:r>
      </w:hyperlink>
    </w:p>
    <w:p w14:paraId="5C306849" w14:textId="1A217035" w:rsidR="003A4566" w:rsidRDefault="00384803">
      <w:pPr>
        <w:pStyle w:val="TOC2"/>
        <w:tabs>
          <w:tab w:val="left" w:pos="880"/>
          <w:tab w:val="right" w:leader="dot" w:pos="103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5828949" w:history="1">
        <w:r w:rsidR="00EA006C" w:rsidRPr="000F10D1">
          <w:rPr>
            <w:rStyle w:val="Hyperlink"/>
            <w:noProof/>
          </w:rPr>
          <w:t>6.2</w:t>
        </w:r>
        <w:r w:rsidR="00EA00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A006C" w:rsidRPr="000F10D1">
          <w:rPr>
            <w:rStyle w:val="Hyperlink"/>
            <w:noProof/>
          </w:rPr>
          <w:t>Decreasing Hours</w:t>
        </w:r>
        <w:r w:rsidR="00EA006C">
          <w:rPr>
            <w:noProof/>
            <w:webHidden/>
          </w:rPr>
          <w:tab/>
          <w:t>3</w:t>
        </w:r>
      </w:hyperlink>
    </w:p>
    <w:p w14:paraId="481D9235" w14:textId="0FDA5D6D" w:rsidR="003A4566" w:rsidRDefault="00384803">
      <w:pPr>
        <w:pStyle w:val="TOC2"/>
        <w:tabs>
          <w:tab w:val="left" w:pos="880"/>
          <w:tab w:val="right" w:leader="dot" w:pos="103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5828950" w:history="1">
        <w:r w:rsidR="00EA006C" w:rsidRPr="000F10D1">
          <w:rPr>
            <w:rStyle w:val="Hyperlink"/>
            <w:noProof/>
          </w:rPr>
          <w:t>6.3</w:t>
        </w:r>
        <w:r w:rsidR="00EA00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A006C" w:rsidRPr="000F10D1">
          <w:rPr>
            <w:rStyle w:val="Hyperlink"/>
            <w:noProof/>
          </w:rPr>
          <w:t>Processing of HRB9 – Variation in Hours</w:t>
        </w:r>
        <w:r w:rsidR="00EA006C">
          <w:rPr>
            <w:noProof/>
            <w:webHidden/>
          </w:rPr>
          <w:tab/>
          <w:t>3</w:t>
        </w:r>
      </w:hyperlink>
    </w:p>
    <w:p w14:paraId="317EE55B" w14:textId="62DB1642" w:rsidR="003A4566" w:rsidRDefault="00384803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25828951" w:history="1">
        <w:r w:rsidR="003A4566" w:rsidRPr="000F10D1">
          <w:rPr>
            <w:rStyle w:val="Hyperlink"/>
            <w:rFonts w:cs="Arial"/>
            <w:noProof/>
          </w:rPr>
          <w:t>7</w:t>
        </w:r>
        <w:r w:rsidR="003A456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A4566" w:rsidRPr="000F10D1">
          <w:rPr>
            <w:rStyle w:val="Hyperlink"/>
            <w:rFonts w:cs="Arial"/>
            <w:noProof/>
          </w:rPr>
          <w:t>Responsibilities</w:t>
        </w:r>
        <w:r w:rsidR="003A4566">
          <w:rPr>
            <w:noProof/>
            <w:webHidden/>
          </w:rPr>
          <w:tab/>
        </w:r>
        <w:r w:rsidR="003A4566">
          <w:rPr>
            <w:noProof/>
            <w:webHidden/>
          </w:rPr>
          <w:fldChar w:fldCharType="begin"/>
        </w:r>
        <w:r w:rsidR="003A4566">
          <w:rPr>
            <w:noProof/>
            <w:webHidden/>
          </w:rPr>
          <w:instrText xml:space="preserve"> PAGEREF _Toc25828951 \h </w:instrText>
        </w:r>
        <w:r w:rsidR="003A4566">
          <w:rPr>
            <w:noProof/>
            <w:webHidden/>
          </w:rPr>
        </w:r>
        <w:r w:rsidR="003A4566">
          <w:rPr>
            <w:noProof/>
            <w:webHidden/>
          </w:rPr>
          <w:fldChar w:fldCharType="separate"/>
        </w:r>
        <w:r w:rsidR="003A4566">
          <w:rPr>
            <w:noProof/>
            <w:webHidden/>
          </w:rPr>
          <w:t>4</w:t>
        </w:r>
        <w:r w:rsidR="003A4566">
          <w:rPr>
            <w:noProof/>
            <w:webHidden/>
          </w:rPr>
          <w:fldChar w:fldCharType="end"/>
        </w:r>
      </w:hyperlink>
    </w:p>
    <w:p w14:paraId="6C318F53" w14:textId="0A97C14B" w:rsidR="003A4566" w:rsidRDefault="00384803">
      <w:pPr>
        <w:pStyle w:val="TOC2"/>
        <w:tabs>
          <w:tab w:val="left" w:pos="880"/>
          <w:tab w:val="right" w:leader="dot" w:pos="103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5828952" w:history="1">
        <w:r w:rsidR="003A4566" w:rsidRPr="000F10D1">
          <w:rPr>
            <w:rStyle w:val="Hyperlink"/>
            <w:noProof/>
          </w:rPr>
          <w:t>7.1</w:t>
        </w:r>
        <w:r w:rsidR="003A456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A4566" w:rsidRPr="000F10D1">
          <w:rPr>
            <w:rStyle w:val="Hyperlink"/>
            <w:noProof/>
          </w:rPr>
          <w:t>Executives, Directors, Senior Managers / Managers</w:t>
        </w:r>
        <w:r w:rsidR="003A4566">
          <w:rPr>
            <w:noProof/>
            <w:webHidden/>
          </w:rPr>
          <w:tab/>
        </w:r>
        <w:r w:rsidR="003A4566">
          <w:rPr>
            <w:noProof/>
            <w:webHidden/>
          </w:rPr>
          <w:fldChar w:fldCharType="begin"/>
        </w:r>
        <w:r w:rsidR="003A4566">
          <w:rPr>
            <w:noProof/>
            <w:webHidden/>
          </w:rPr>
          <w:instrText xml:space="preserve"> PAGEREF _Toc25828952 \h </w:instrText>
        </w:r>
        <w:r w:rsidR="003A4566">
          <w:rPr>
            <w:noProof/>
            <w:webHidden/>
          </w:rPr>
        </w:r>
        <w:r w:rsidR="003A4566">
          <w:rPr>
            <w:noProof/>
            <w:webHidden/>
          </w:rPr>
          <w:fldChar w:fldCharType="separate"/>
        </w:r>
        <w:r w:rsidR="003A4566">
          <w:rPr>
            <w:noProof/>
            <w:webHidden/>
          </w:rPr>
          <w:t>4</w:t>
        </w:r>
        <w:r w:rsidR="003A4566">
          <w:rPr>
            <w:noProof/>
            <w:webHidden/>
          </w:rPr>
          <w:fldChar w:fldCharType="end"/>
        </w:r>
      </w:hyperlink>
    </w:p>
    <w:p w14:paraId="445456FE" w14:textId="473ECC9B" w:rsidR="003A4566" w:rsidRDefault="00384803">
      <w:pPr>
        <w:pStyle w:val="TOC2"/>
        <w:tabs>
          <w:tab w:val="left" w:pos="880"/>
          <w:tab w:val="right" w:leader="dot" w:pos="103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5828953" w:history="1">
        <w:r w:rsidR="00EA006C" w:rsidRPr="000F10D1">
          <w:rPr>
            <w:rStyle w:val="Hyperlink"/>
            <w:noProof/>
          </w:rPr>
          <w:t>7.2</w:t>
        </w:r>
        <w:r w:rsidR="00EA00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A006C" w:rsidRPr="000F10D1">
          <w:rPr>
            <w:rStyle w:val="Hyperlink"/>
            <w:noProof/>
          </w:rPr>
          <w:t>Employees</w:t>
        </w:r>
        <w:r w:rsidR="00EA006C">
          <w:rPr>
            <w:noProof/>
            <w:webHidden/>
          </w:rPr>
          <w:tab/>
          <w:t>4</w:t>
        </w:r>
      </w:hyperlink>
    </w:p>
    <w:p w14:paraId="729A2137" w14:textId="4F3C1E04" w:rsidR="003A4566" w:rsidRDefault="00384803" w:rsidP="003A456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25828954" w:history="1">
        <w:r w:rsidR="00EA006C" w:rsidRPr="000F10D1">
          <w:rPr>
            <w:rStyle w:val="Hyperlink"/>
            <w:noProof/>
          </w:rPr>
          <w:t>8</w:t>
        </w:r>
        <w:r w:rsidR="00EA00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A006C" w:rsidRPr="000F10D1">
          <w:rPr>
            <w:rStyle w:val="Hyperlink"/>
            <w:noProof/>
          </w:rPr>
          <w:t>Review of TAFE SA Policy</w:t>
        </w:r>
        <w:r w:rsidR="00EA006C">
          <w:rPr>
            <w:noProof/>
            <w:webHidden/>
          </w:rPr>
          <w:tab/>
          <w:t>4</w:t>
        </w:r>
      </w:hyperlink>
    </w:p>
    <w:p w14:paraId="4CA1BF56" w14:textId="2EBD89B5" w:rsidR="009421C6" w:rsidRDefault="00666A0B" w:rsidP="009421C6">
      <w:pPr>
        <w:rPr>
          <w:rFonts w:cs="Arial"/>
        </w:rPr>
      </w:pPr>
      <w:r>
        <w:fldChar w:fldCharType="end"/>
      </w:r>
    </w:p>
    <w:p w14:paraId="4A0E1E1E" w14:textId="77777777" w:rsidR="006B359A" w:rsidRDefault="006B359A" w:rsidP="009421C6">
      <w:pPr>
        <w:rPr>
          <w:rFonts w:cs="Arial"/>
        </w:rPr>
      </w:pPr>
    </w:p>
    <w:p w14:paraId="1AA64170" w14:textId="77777777" w:rsidR="006B359A" w:rsidRDefault="006B359A" w:rsidP="009421C6">
      <w:pPr>
        <w:rPr>
          <w:rFonts w:cs="Arial"/>
        </w:rPr>
      </w:pPr>
    </w:p>
    <w:p w14:paraId="2F81179C" w14:textId="77777777" w:rsidR="00953C38" w:rsidRDefault="00953C38" w:rsidP="00953C38">
      <w:pPr>
        <w:rPr>
          <w:rFonts w:cs="Arial"/>
          <w:sz w:val="12"/>
          <w:szCs w:val="12"/>
        </w:rPr>
      </w:pPr>
    </w:p>
    <w:p w14:paraId="738834E7" w14:textId="44B557D9" w:rsidR="006B359A" w:rsidRDefault="006B359A" w:rsidP="00953C38">
      <w:pPr>
        <w:rPr>
          <w:rFonts w:cs="Arial"/>
          <w:sz w:val="12"/>
          <w:szCs w:val="12"/>
        </w:rPr>
      </w:pPr>
    </w:p>
    <w:p w14:paraId="7BF7F2C6" w14:textId="7229990D" w:rsidR="003A4566" w:rsidRDefault="003A4566" w:rsidP="00953C38">
      <w:pPr>
        <w:rPr>
          <w:rFonts w:cs="Arial"/>
          <w:sz w:val="12"/>
          <w:szCs w:val="12"/>
        </w:rPr>
      </w:pPr>
    </w:p>
    <w:p w14:paraId="40E18321" w14:textId="26706920" w:rsidR="003A4566" w:rsidRDefault="003A4566" w:rsidP="00953C38">
      <w:pPr>
        <w:rPr>
          <w:rFonts w:cs="Arial"/>
          <w:sz w:val="12"/>
          <w:szCs w:val="12"/>
        </w:rPr>
      </w:pPr>
    </w:p>
    <w:p w14:paraId="417DA5D3" w14:textId="77777777" w:rsidR="003A4566" w:rsidRDefault="003A4566" w:rsidP="00953C38">
      <w:pPr>
        <w:rPr>
          <w:rFonts w:cs="Arial"/>
          <w:sz w:val="12"/>
          <w:szCs w:val="12"/>
        </w:rPr>
      </w:pPr>
    </w:p>
    <w:p w14:paraId="4B627D06" w14:textId="77777777" w:rsidR="006B359A" w:rsidRDefault="006B359A" w:rsidP="00953C38">
      <w:pPr>
        <w:rPr>
          <w:rFonts w:cs="Arial"/>
          <w:sz w:val="12"/>
          <w:szCs w:val="12"/>
        </w:rPr>
      </w:pPr>
    </w:p>
    <w:p w14:paraId="323B5EE9" w14:textId="77777777" w:rsidR="006B359A" w:rsidRDefault="006B359A" w:rsidP="00953C38">
      <w:pPr>
        <w:rPr>
          <w:rFonts w:cs="Arial"/>
          <w:sz w:val="12"/>
          <w:szCs w:val="12"/>
        </w:rPr>
      </w:pPr>
    </w:p>
    <w:p w14:paraId="2AB4E889" w14:textId="77777777" w:rsidR="006B359A" w:rsidRDefault="006B359A" w:rsidP="00953C38">
      <w:pPr>
        <w:rPr>
          <w:rFonts w:cs="Arial"/>
          <w:sz w:val="12"/>
          <w:szCs w:val="12"/>
        </w:rPr>
      </w:pPr>
    </w:p>
    <w:p w14:paraId="25AD5985" w14:textId="77777777" w:rsidR="006B359A" w:rsidRDefault="006B359A" w:rsidP="00953C38">
      <w:pPr>
        <w:rPr>
          <w:rFonts w:cs="Arial"/>
          <w:sz w:val="12"/>
          <w:szCs w:val="12"/>
        </w:rPr>
      </w:pPr>
    </w:p>
    <w:p w14:paraId="06501A50" w14:textId="77777777" w:rsidR="006B359A" w:rsidRPr="00AE1435" w:rsidRDefault="006B359A" w:rsidP="00953C38">
      <w:pPr>
        <w:rPr>
          <w:rFonts w:cs="Arial"/>
          <w:sz w:val="12"/>
          <w:szCs w:val="12"/>
        </w:rPr>
      </w:pPr>
    </w:p>
    <w:p w14:paraId="43A20EC5" w14:textId="77777777" w:rsidR="00897F8C" w:rsidRDefault="00897F8C" w:rsidP="00425602">
      <w:pPr>
        <w:tabs>
          <w:tab w:val="center" w:pos="4513"/>
          <w:tab w:val="right" w:pos="9026"/>
        </w:tabs>
        <w:rPr>
          <w:b/>
        </w:rPr>
      </w:pPr>
    </w:p>
    <w:p w14:paraId="062D6157" w14:textId="025E5E17" w:rsidR="00897F8C" w:rsidRDefault="00897F8C" w:rsidP="00425602">
      <w:pPr>
        <w:tabs>
          <w:tab w:val="center" w:pos="4513"/>
          <w:tab w:val="right" w:pos="9026"/>
        </w:tabs>
        <w:rPr>
          <w:b/>
        </w:rPr>
      </w:pPr>
    </w:p>
    <w:p w14:paraId="722B2D7A" w14:textId="77777777" w:rsidR="009421C6" w:rsidRPr="00D87D9B" w:rsidRDefault="009421C6" w:rsidP="00373837">
      <w:pPr>
        <w:pStyle w:val="Heading1"/>
        <w:numPr>
          <w:ilvl w:val="0"/>
          <w:numId w:val="7"/>
        </w:numPr>
        <w:spacing w:before="240"/>
        <w:rPr>
          <w:rFonts w:cs="Arial"/>
        </w:rPr>
      </w:pPr>
      <w:bookmarkStart w:id="3" w:name="_Toc25828942"/>
      <w:r w:rsidRPr="00D87D9B">
        <w:rPr>
          <w:rFonts w:cs="Arial"/>
        </w:rPr>
        <w:lastRenderedPageBreak/>
        <w:t>Policy</w:t>
      </w:r>
      <w:bookmarkEnd w:id="3"/>
    </w:p>
    <w:p w14:paraId="7D7C96E1" w14:textId="77777777" w:rsidR="009421C6" w:rsidRPr="00287EE2" w:rsidRDefault="009421C6" w:rsidP="009421C6"/>
    <w:tbl>
      <w:tblPr>
        <w:tblW w:w="10206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9780"/>
      </w:tblGrid>
      <w:tr w:rsidR="009421C6" w:rsidRPr="001E33E5" w14:paraId="281046A8" w14:textId="77777777" w:rsidTr="00B86C97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</w:tcPr>
          <w:p w14:paraId="2FB535CB" w14:textId="77777777" w:rsidR="009421C6" w:rsidRPr="00946408" w:rsidRDefault="009421C6" w:rsidP="00B86C97">
            <w:pPr>
              <w:pStyle w:val="Heading1"/>
              <w:numPr>
                <w:ilvl w:val="0"/>
                <w:numId w:val="0"/>
              </w:numPr>
              <w:ind w:left="432"/>
              <w:rPr>
                <w:rFonts w:cs="Arial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9318EE" w14:textId="577BF0C8" w:rsidR="00DD6059" w:rsidRPr="00CB1427" w:rsidRDefault="00DD6059" w:rsidP="00CB1427">
            <w:r w:rsidRPr="00CB1427">
              <w:t xml:space="preserve">This </w:t>
            </w:r>
            <w:r w:rsidR="00CC1E83">
              <w:t>p</w:t>
            </w:r>
            <w:r w:rsidRPr="00CB1427">
              <w:t xml:space="preserve">olicy provides direction to </w:t>
            </w:r>
            <w:r w:rsidR="00352675" w:rsidRPr="00CB1427">
              <w:t xml:space="preserve">TAFE SA </w:t>
            </w:r>
            <w:r w:rsidRPr="00CB1427">
              <w:t xml:space="preserve">staff and managers for the appropriate management of </w:t>
            </w:r>
            <w:r w:rsidR="005D78D9" w:rsidRPr="00CB1427">
              <w:t>increas</w:t>
            </w:r>
            <w:r w:rsidR="00AB4BA0" w:rsidRPr="00CB1427">
              <w:t>ing</w:t>
            </w:r>
            <w:r w:rsidR="005D78D9" w:rsidRPr="00CB1427">
              <w:t xml:space="preserve"> and </w:t>
            </w:r>
            <w:proofErr w:type="gramStart"/>
            <w:r w:rsidR="005D78D9" w:rsidRPr="00CB1427">
              <w:t>decreas</w:t>
            </w:r>
            <w:r w:rsidR="00AB4BA0" w:rsidRPr="00CB1427">
              <w:t>ing</w:t>
            </w:r>
            <w:r w:rsidR="005D78D9" w:rsidRPr="00CB1427">
              <w:t xml:space="preserve">  an</w:t>
            </w:r>
            <w:proofErr w:type="gramEnd"/>
            <w:r w:rsidR="005D78D9" w:rsidRPr="00CB1427">
              <w:t xml:space="preserve"> employee</w:t>
            </w:r>
            <w:r w:rsidR="00530C04">
              <w:t>’</w:t>
            </w:r>
            <w:r w:rsidR="005D78D9" w:rsidRPr="00CB1427">
              <w:t>s hours</w:t>
            </w:r>
            <w:r w:rsidRPr="00CB1427">
              <w:t>.</w:t>
            </w:r>
            <w:r w:rsidR="00CC1E83">
              <w:t xml:space="preserve"> </w:t>
            </w:r>
            <w:r w:rsidRPr="00CB1427">
              <w:t xml:space="preserve">This </w:t>
            </w:r>
            <w:r w:rsidR="00CC1E83">
              <w:t>p</w:t>
            </w:r>
            <w:r w:rsidRPr="00CB1427">
              <w:t>olicy is to be read in conjunction with the relevant employment</w:t>
            </w:r>
            <w:r w:rsidR="00AB4BA0" w:rsidRPr="00CB1427">
              <w:t xml:space="preserve"> legislation,</w:t>
            </w:r>
            <w:r w:rsidRPr="00CB1427">
              <w:t xml:space="preserve"> Awards</w:t>
            </w:r>
            <w:r w:rsidR="00AB4BA0" w:rsidRPr="00CB1427">
              <w:t xml:space="preserve"> and</w:t>
            </w:r>
            <w:r w:rsidRPr="00CB1427">
              <w:t xml:space="preserve"> Enterprise Agreements as listed in section 5 below.</w:t>
            </w:r>
          </w:p>
          <w:p w14:paraId="74CAEDC3" w14:textId="77777777" w:rsidR="009421C6" w:rsidRPr="00946408" w:rsidRDefault="009421C6" w:rsidP="00DD6059">
            <w:pPr>
              <w:ind w:left="357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3735567" w14:textId="77777777" w:rsidR="009421C6" w:rsidRPr="001E33E5" w:rsidRDefault="009421C6" w:rsidP="00CC1E83">
      <w:pPr>
        <w:pStyle w:val="Heading1"/>
        <w:spacing w:before="400"/>
        <w:ind w:left="431" w:hanging="431"/>
        <w:rPr>
          <w:rFonts w:cs="Arial"/>
        </w:rPr>
      </w:pPr>
      <w:bookmarkStart w:id="4" w:name="_Toc25828943"/>
      <w:r w:rsidRPr="001E33E5">
        <w:rPr>
          <w:rFonts w:cs="Arial"/>
        </w:rPr>
        <w:t>Scope</w:t>
      </w:r>
      <w:bookmarkEnd w:id="4"/>
    </w:p>
    <w:p w14:paraId="4AA01700" w14:textId="77777777" w:rsidR="009421C6" w:rsidRPr="001E33E5" w:rsidRDefault="009421C6" w:rsidP="009421C6"/>
    <w:tbl>
      <w:tblPr>
        <w:tblW w:w="10206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9780"/>
      </w:tblGrid>
      <w:tr w:rsidR="009421C6" w:rsidRPr="001E33E5" w14:paraId="2862BFC8" w14:textId="77777777" w:rsidTr="00B86C97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</w:tcPr>
          <w:p w14:paraId="7A9F38E2" w14:textId="77777777" w:rsidR="009421C6" w:rsidRPr="00946408" w:rsidRDefault="009421C6" w:rsidP="00B86C97">
            <w:pPr>
              <w:pStyle w:val="Heading1"/>
              <w:numPr>
                <w:ilvl w:val="0"/>
                <w:numId w:val="0"/>
              </w:numPr>
              <w:ind w:left="432"/>
              <w:rPr>
                <w:rFonts w:cs="Arial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644974" w14:textId="5FF8149C" w:rsidR="009421C6" w:rsidRPr="00CC1E83" w:rsidRDefault="005D78D9" w:rsidP="00B86C97">
            <w:r>
              <w:t xml:space="preserve">To provide guidance </w:t>
            </w:r>
            <w:r w:rsidR="0021620A">
              <w:t xml:space="preserve">for the consideration </w:t>
            </w:r>
            <w:r w:rsidR="00AB4BA0">
              <w:t>of v</w:t>
            </w:r>
            <w:r w:rsidR="0021620A">
              <w:t>ariations in hours</w:t>
            </w:r>
            <w:r w:rsidR="00BF17B8">
              <w:t xml:space="preserve"> for</w:t>
            </w:r>
            <w:r w:rsidR="0021620A">
              <w:t xml:space="preserve"> </w:t>
            </w:r>
            <w:r w:rsidR="00AB4BA0">
              <w:t xml:space="preserve">Public Sector </w:t>
            </w:r>
            <w:r w:rsidR="0021620A">
              <w:t>employees in</w:t>
            </w:r>
            <w:r w:rsidR="0071632A">
              <w:t xml:space="preserve"> </w:t>
            </w:r>
            <w:r w:rsidR="0021620A">
              <w:t>line with relevant Industrial in</w:t>
            </w:r>
            <w:r w:rsidR="00AB4BA0">
              <w:t>s</w:t>
            </w:r>
            <w:r w:rsidR="0021620A">
              <w:t xml:space="preserve">truments and the processing of relevant forms </w:t>
            </w:r>
            <w:r w:rsidR="00AB4BA0">
              <w:t xml:space="preserve">for </w:t>
            </w:r>
            <w:r w:rsidR="0021620A">
              <w:t>implement</w:t>
            </w:r>
            <w:r w:rsidR="00AB4BA0">
              <w:t>ation</w:t>
            </w:r>
            <w:r w:rsidR="00CC1E83">
              <w:t>.</w:t>
            </w:r>
          </w:p>
        </w:tc>
      </w:tr>
    </w:tbl>
    <w:p w14:paraId="6F6430EC" w14:textId="77777777" w:rsidR="009421C6" w:rsidRPr="001E33E5" w:rsidRDefault="009421C6" w:rsidP="00CC1E83">
      <w:pPr>
        <w:pStyle w:val="Heading1"/>
        <w:spacing w:before="400"/>
        <w:ind w:left="431" w:hanging="431"/>
        <w:rPr>
          <w:rFonts w:cs="Arial"/>
        </w:rPr>
      </w:pPr>
      <w:bookmarkStart w:id="5" w:name="_Toc25828944"/>
      <w:r w:rsidRPr="001E33E5">
        <w:rPr>
          <w:rFonts w:cs="Arial"/>
        </w:rPr>
        <w:t>Definitions</w:t>
      </w:r>
      <w:bookmarkEnd w:id="5"/>
    </w:p>
    <w:p w14:paraId="71B5C2B2" w14:textId="77777777" w:rsidR="009421C6" w:rsidRPr="001E33E5" w:rsidRDefault="009421C6" w:rsidP="009421C6"/>
    <w:tbl>
      <w:tblPr>
        <w:tblW w:w="10206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2868"/>
        <w:gridCol w:w="6912"/>
      </w:tblGrid>
      <w:tr w:rsidR="009421C6" w:rsidRPr="001E33E5" w14:paraId="60F18861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4FB1555" w14:textId="77777777" w:rsidR="009421C6" w:rsidRPr="00946408" w:rsidRDefault="009421C6" w:rsidP="00B86C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6E42A9" w14:textId="315C1D2F" w:rsidR="009421C6" w:rsidRPr="00DE5AD4" w:rsidRDefault="00E72CB1" w:rsidP="00B86C97">
            <w:r w:rsidRPr="00DE5AD4">
              <w:rPr>
                <w:rFonts w:cs="Arial"/>
                <w:szCs w:val="22"/>
              </w:rPr>
              <w:t xml:space="preserve">Delegate </w:t>
            </w:r>
          </w:p>
        </w:tc>
        <w:tc>
          <w:tcPr>
            <w:tcW w:w="6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000CA3" w14:textId="4678341C" w:rsidR="009421C6" w:rsidRPr="00DE5AD4" w:rsidRDefault="005D78D9" w:rsidP="00DE5A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6E285A" w:rsidRPr="007A00FC">
              <w:rPr>
                <w:rFonts w:cs="Arial"/>
                <w:szCs w:val="22"/>
              </w:rPr>
              <w:t xml:space="preserve">he responsible authorised officer as identified in the approved </w:t>
            </w:r>
            <w:r w:rsidR="006E285A">
              <w:rPr>
                <w:rFonts w:cs="Arial"/>
                <w:szCs w:val="22"/>
              </w:rPr>
              <w:t xml:space="preserve">HR Instrument of </w:t>
            </w:r>
            <w:r w:rsidR="006E285A" w:rsidRPr="007A00FC">
              <w:rPr>
                <w:rFonts w:cs="Arial"/>
                <w:szCs w:val="22"/>
              </w:rPr>
              <w:t>Delegations.</w:t>
            </w:r>
          </w:p>
        </w:tc>
      </w:tr>
      <w:tr w:rsidR="009421C6" w:rsidRPr="001E33E5" w14:paraId="7F498FC3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D09CFCD" w14:textId="77777777" w:rsidR="009421C6" w:rsidRPr="00946408" w:rsidRDefault="009421C6" w:rsidP="00B86C97">
            <w:pPr>
              <w:rPr>
                <w:rFonts w:cs="Arial"/>
              </w:rPr>
            </w:pPr>
          </w:p>
        </w:tc>
        <w:tc>
          <w:tcPr>
            <w:tcW w:w="2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75A7CA" w14:textId="77A1EA4D" w:rsidR="009421C6" w:rsidRPr="00DE5AD4" w:rsidRDefault="005D78D9" w:rsidP="00B86C97">
            <w:r w:rsidRPr="00DE5AD4">
              <w:rPr>
                <w:rFonts w:cs="Arial"/>
                <w:szCs w:val="22"/>
              </w:rPr>
              <w:t xml:space="preserve">Hours </w:t>
            </w:r>
            <w:proofErr w:type="gramStart"/>
            <w:r w:rsidRPr="00DE5AD4">
              <w:rPr>
                <w:rFonts w:cs="Arial"/>
                <w:szCs w:val="22"/>
              </w:rPr>
              <w:t>Of</w:t>
            </w:r>
            <w:proofErr w:type="gramEnd"/>
            <w:r w:rsidRPr="00DE5AD4">
              <w:rPr>
                <w:rFonts w:cs="Arial"/>
                <w:szCs w:val="22"/>
              </w:rPr>
              <w:t xml:space="preserve"> Duty</w:t>
            </w:r>
            <w:r w:rsidR="00F361E3" w:rsidRPr="00DE5AD4">
              <w:rPr>
                <w:rFonts w:cs="Arial"/>
                <w:szCs w:val="22"/>
              </w:rPr>
              <w:t xml:space="preserve"> PS Act</w:t>
            </w:r>
          </w:p>
        </w:tc>
        <w:tc>
          <w:tcPr>
            <w:tcW w:w="6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93A295" w14:textId="77777777" w:rsidR="009421C6" w:rsidRDefault="005D78D9" w:rsidP="00DE5AD4">
            <w:pPr>
              <w:jc w:val="both"/>
            </w:pPr>
            <w:r w:rsidRPr="005D78D9">
              <w:t>Normal working hours for full-time employees must be an average of 37.5 hours per week, to be worked on each day (Monday to Friday inclusive) between the hours of 8.00 am to 6.00 pm.</w:t>
            </w:r>
          </w:p>
          <w:p w14:paraId="7F13FC44" w14:textId="77777777" w:rsidR="00DE5AD4" w:rsidRDefault="00DE5AD4" w:rsidP="00DE5AD4">
            <w:pPr>
              <w:jc w:val="both"/>
              <w:rPr>
                <w:rFonts w:cs="Arial"/>
                <w:szCs w:val="22"/>
              </w:rPr>
            </w:pPr>
          </w:p>
          <w:p w14:paraId="78B2D2B0" w14:textId="6F53DB61" w:rsidR="00F361E3" w:rsidRPr="00946408" w:rsidRDefault="00F361E3" w:rsidP="00DE5AD4">
            <w:pPr>
              <w:jc w:val="both"/>
            </w:pPr>
            <w:r w:rsidRPr="005D78D9">
              <w:rPr>
                <w:rFonts w:cs="Arial"/>
                <w:szCs w:val="22"/>
              </w:rPr>
              <w:t>A part-time employee must be engaged for a minimum shift period of three hours, unless otherwise agreed between the delegate and the employee</w:t>
            </w:r>
          </w:p>
        </w:tc>
      </w:tr>
      <w:tr w:rsidR="00F361E3" w:rsidRPr="001E33E5" w14:paraId="73C6AD5B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730EF79" w14:textId="77777777" w:rsidR="00F361E3" w:rsidRPr="00946408" w:rsidRDefault="00F361E3" w:rsidP="00B86C97">
            <w:pPr>
              <w:rPr>
                <w:rFonts w:cs="Arial"/>
              </w:rPr>
            </w:pPr>
          </w:p>
        </w:tc>
        <w:tc>
          <w:tcPr>
            <w:tcW w:w="2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5FE9FE" w14:textId="575CFA40" w:rsidR="00F361E3" w:rsidRPr="00DE5AD4" w:rsidRDefault="00F361E3" w:rsidP="00B86C97">
            <w:pPr>
              <w:rPr>
                <w:rFonts w:cs="Arial"/>
                <w:szCs w:val="22"/>
              </w:rPr>
            </w:pPr>
            <w:r w:rsidRPr="00DE5AD4">
              <w:rPr>
                <w:rFonts w:cs="Arial"/>
                <w:szCs w:val="22"/>
              </w:rPr>
              <w:t>Hours of Duty TAFE Act</w:t>
            </w:r>
          </w:p>
        </w:tc>
        <w:tc>
          <w:tcPr>
            <w:tcW w:w="6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A0AAD7" w14:textId="078B1354" w:rsidR="00F361E3" w:rsidRDefault="00F361E3" w:rsidP="00DE5A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normal hours of duty are 35 hours per week.</w:t>
            </w:r>
          </w:p>
        </w:tc>
      </w:tr>
      <w:tr w:rsidR="00F361E3" w:rsidRPr="001E33E5" w14:paraId="42D272C7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E7B893A" w14:textId="77777777" w:rsidR="00F361E3" w:rsidRPr="00946408" w:rsidRDefault="00F361E3" w:rsidP="00B86C97">
            <w:pPr>
              <w:rPr>
                <w:rFonts w:cs="Arial"/>
              </w:rPr>
            </w:pPr>
          </w:p>
        </w:tc>
        <w:tc>
          <w:tcPr>
            <w:tcW w:w="2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4C402E" w14:textId="232EFB07" w:rsidR="00F361E3" w:rsidRPr="00DE5AD4" w:rsidRDefault="00F361E3" w:rsidP="00B86C97">
            <w:pPr>
              <w:rPr>
                <w:rFonts w:cs="Arial"/>
                <w:szCs w:val="22"/>
              </w:rPr>
            </w:pPr>
            <w:r w:rsidRPr="00DE5AD4">
              <w:rPr>
                <w:rFonts w:cs="Arial"/>
                <w:szCs w:val="22"/>
              </w:rPr>
              <w:t>Hours of Duty Weekly Paid</w:t>
            </w:r>
          </w:p>
        </w:tc>
        <w:tc>
          <w:tcPr>
            <w:tcW w:w="6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46CA79" w14:textId="2500241B" w:rsidR="00F361E3" w:rsidRDefault="00CB54E5" w:rsidP="00DE5A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normal hours of duty are 38 hours per week.</w:t>
            </w:r>
          </w:p>
        </w:tc>
      </w:tr>
    </w:tbl>
    <w:p w14:paraId="15DB33A2" w14:textId="77777777" w:rsidR="009421C6" w:rsidRPr="001E33E5" w:rsidRDefault="009421C6" w:rsidP="009421C6">
      <w:pPr>
        <w:pStyle w:val="Heading1"/>
        <w:rPr>
          <w:rFonts w:cs="Arial"/>
        </w:rPr>
      </w:pPr>
      <w:bookmarkStart w:id="6" w:name="_Toc25828945"/>
      <w:r>
        <w:rPr>
          <w:rFonts w:cs="Arial"/>
        </w:rPr>
        <w:t xml:space="preserve">Related policies </w:t>
      </w:r>
      <w:r w:rsidR="0009674A">
        <w:rPr>
          <w:rFonts w:cs="Arial"/>
        </w:rPr>
        <w:t>and procedures</w:t>
      </w:r>
      <w:bookmarkEnd w:id="6"/>
    </w:p>
    <w:p w14:paraId="15588FB7" w14:textId="77777777" w:rsidR="009421C6" w:rsidRPr="001E33E5" w:rsidRDefault="009421C6" w:rsidP="009421C6"/>
    <w:tbl>
      <w:tblPr>
        <w:tblW w:w="10206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2551"/>
        <w:gridCol w:w="7229"/>
      </w:tblGrid>
      <w:tr w:rsidR="00913102" w:rsidRPr="001E33E5" w14:paraId="56C04296" w14:textId="77777777" w:rsidTr="00B86C97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18E2C5C" w14:textId="731B3E8A" w:rsidR="00913102" w:rsidRPr="00946408" w:rsidRDefault="00913102" w:rsidP="00913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4886D6" w14:textId="0CAE8820" w:rsidR="00913102" w:rsidRPr="00946408" w:rsidRDefault="009345A1" w:rsidP="00913102">
            <w:r>
              <w:t>PPMF</w:t>
            </w:r>
            <w:r w:rsidR="00DE5AD4">
              <w:t xml:space="preserve"> </w:t>
            </w:r>
            <w:r>
              <w:t>TAFESA</w:t>
            </w:r>
            <w:r w:rsidR="00DE5AD4">
              <w:t xml:space="preserve"> </w:t>
            </w:r>
            <w:r>
              <w:t>1004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9892C" w14:textId="50F361F1" w:rsidR="00913102" w:rsidRPr="00946408" w:rsidRDefault="00384803" w:rsidP="00913102">
            <w:hyperlink r:id="rId11" w:history="1">
              <w:proofErr w:type="spellStart"/>
              <w:r w:rsidR="00913102" w:rsidRPr="000E2396">
                <w:rPr>
                  <w:rStyle w:val="Hyperlink"/>
                </w:rPr>
                <w:t>Volunatary</w:t>
              </w:r>
              <w:proofErr w:type="spellEnd"/>
              <w:r w:rsidR="00913102" w:rsidRPr="000E2396">
                <w:rPr>
                  <w:rStyle w:val="Hyperlink"/>
                </w:rPr>
                <w:t xml:space="preserve"> Flexible Working Arrangements Policy</w:t>
              </w:r>
            </w:hyperlink>
          </w:p>
        </w:tc>
      </w:tr>
    </w:tbl>
    <w:p w14:paraId="04F0118F" w14:textId="77777777" w:rsidR="00373837" w:rsidRDefault="009421C6" w:rsidP="00CC1E83">
      <w:pPr>
        <w:pStyle w:val="Heading1"/>
        <w:spacing w:before="400"/>
        <w:ind w:left="431" w:hanging="431"/>
        <w:rPr>
          <w:rFonts w:cs="Arial"/>
        </w:rPr>
      </w:pPr>
      <w:bookmarkStart w:id="7" w:name="_Toc25828946"/>
      <w:r w:rsidRPr="001E33E5">
        <w:rPr>
          <w:rFonts w:cs="Arial"/>
        </w:rPr>
        <w:t>References</w:t>
      </w:r>
      <w:bookmarkEnd w:id="7"/>
      <w:r>
        <w:rPr>
          <w:rFonts w:cs="Arial"/>
        </w:rPr>
        <w:t xml:space="preserve"> </w:t>
      </w:r>
    </w:p>
    <w:p w14:paraId="515155D7" w14:textId="77777777" w:rsidR="009421C6" w:rsidRPr="001E33E5" w:rsidRDefault="009421C6" w:rsidP="009421C6"/>
    <w:tbl>
      <w:tblPr>
        <w:tblW w:w="1038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9956"/>
      </w:tblGrid>
      <w:tr w:rsidR="00DD6059" w:rsidRPr="001E33E5" w14:paraId="13F2F3C5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857023B" w14:textId="77777777" w:rsidR="00DD6059" w:rsidRPr="00946408" w:rsidRDefault="00DD6059" w:rsidP="00B86C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FD6533" w14:textId="669AA7F7" w:rsidR="00DD6059" w:rsidRPr="00946408" w:rsidRDefault="00384803" w:rsidP="00B86C97">
            <w:hyperlink r:id="rId12" w:history="1">
              <w:r w:rsidR="000D3DE9" w:rsidRPr="000D3DE9">
                <w:rPr>
                  <w:rStyle w:val="Hyperlink"/>
                </w:rPr>
                <w:t>Public Sector Regulations 2010</w:t>
              </w:r>
            </w:hyperlink>
          </w:p>
        </w:tc>
      </w:tr>
      <w:tr w:rsidR="00DD6059" w:rsidRPr="001E33E5" w14:paraId="58E17929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F9EE17B" w14:textId="77777777" w:rsidR="00DD6059" w:rsidRPr="00946408" w:rsidRDefault="00DD6059" w:rsidP="00B86C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3D0479" w14:textId="59C382AC" w:rsidR="00DD6059" w:rsidRDefault="00384803" w:rsidP="00B86C97">
            <w:hyperlink r:id="rId13" w:history="1">
              <w:r w:rsidR="000D3DE9" w:rsidRPr="00FC4A1B">
                <w:rPr>
                  <w:rStyle w:val="Hyperlink"/>
                </w:rPr>
                <w:t xml:space="preserve">South Australian </w:t>
              </w:r>
              <w:r w:rsidR="00FC4A1B" w:rsidRPr="00FC4A1B">
                <w:rPr>
                  <w:rStyle w:val="Hyperlink"/>
                </w:rPr>
                <w:t>Modern Public Sector Enterprise Agreement: Salaried 2017</w:t>
              </w:r>
            </w:hyperlink>
            <w:r w:rsidR="00DD6059">
              <w:t xml:space="preserve"> </w:t>
            </w:r>
          </w:p>
        </w:tc>
      </w:tr>
      <w:tr w:rsidR="00112D56" w:rsidRPr="001E33E5" w14:paraId="1F148C7D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00A97C6" w14:textId="77777777" w:rsidR="00112D56" w:rsidRPr="00946408" w:rsidRDefault="00112D56" w:rsidP="00B86C97">
            <w:pPr>
              <w:rPr>
                <w:rFonts w:cs="Arial"/>
              </w:rPr>
            </w:pPr>
          </w:p>
        </w:tc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6D7454" w14:textId="0CE446C1" w:rsidR="00112D56" w:rsidRDefault="00384803" w:rsidP="00B86C97">
            <w:hyperlink r:id="rId14" w:history="1">
              <w:r w:rsidR="00F361E3" w:rsidRPr="00F361E3">
                <w:rPr>
                  <w:rStyle w:val="Hyperlink"/>
                </w:rPr>
                <w:t>TAFE (Educational Staff) Interim Award</w:t>
              </w:r>
            </w:hyperlink>
          </w:p>
        </w:tc>
      </w:tr>
      <w:tr w:rsidR="00DD6059" w:rsidRPr="001E33E5" w14:paraId="60296CF0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A7E8369" w14:textId="77777777" w:rsidR="00DD6059" w:rsidRPr="00946408" w:rsidRDefault="00DD6059" w:rsidP="00B86C97">
            <w:pPr>
              <w:rPr>
                <w:rFonts w:cs="Arial"/>
              </w:rPr>
            </w:pPr>
          </w:p>
        </w:tc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8451DA" w14:textId="18DB9208" w:rsidR="00DD6059" w:rsidRPr="00946408" w:rsidRDefault="00384803" w:rsidP="00B86C97">
            <w:hyperlink r:id="rId15" w:history="1">
              <w:r w:rsidR="00E60889" w:rsidRPr="00FC4A1B">
                <w:rPr>
                  <w:rStyle w:val="Hyperlink"/>
                  <w:rFonts w:cs="Arial"/>
                  <w:szCs w:val="22"/>
                </w:rPr>
                <w:t>Commissioner’s Determinations 3.1 Employment Conditions – Hours of Work, Overtime and Leave</w:t>
              </w:r>
            </w:hyperlink>
          </w:p>
        </w:tc>
      </w:tr>
      <w:tr w:rsidR="00DD6059" w:rsidRPr="001E33E5" w14:paraId="1D61C90E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045205C" w14:textId="77777777" w:rsidR="00DD6059" w:rsidRPr="00946408" w:rsidRDefault="00DD6059" w:rsidP="00B86C97">
            <w:pPr>
              <w:rPr>
                <w:rFonts w:cs="Arial"/>
              </w:rPr>
            </w:pPr>
          </w:p>
        </w:tc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F735D9" w14:textId="40328476" w:rsidR="00DD6059" w:rsidRPr="00946408" w:rsidRDefault="00384803" w:rsidP="00B86C97">
            <w:hyperlink r:id="rId16" w:history="1">
              <w:r w:rsidR="00DD6059" w:rsidRPr="00E60889">
                <w:rPr>
                  <w:rStyle w:val="Hyperlink"/>
                </w:rPr>
                <w:t>P</w:t>
              </w:r>
              <w:r w:rsidR="00E60889" w:rsidRPr="00E60889">
                <w:rPr>
                  <w:rStyle w:val="Hyperlink"/>
                </w:rPr>
                <w:t>ublic Sector Act 2009</w:t>
              </w:r>
            </w:hyperlink>
          </w:p>
        </w:tc>
      </w:tr>
      <w:tr w:rsidR="00295DB6" w:rsidRPr="001E33E5" w14:paraId="67CF042B" w14:textId="77777777" w:rsidTr="003A4566">
        <w:tc>
          <w:tcPr>
            <w:tcW w:w="42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C7844D1" w14:textId="77777777" w:rsidR="00295DB6" w:rsidRPr="00946408" w:rsidRDefault="00295DB6" w:rsidP="00B86C97">
            <w:pPr>
              <w:rPr>
                <w:rFonts w:cs="Arial"/>
              </w:rPr>
            </w:pPr>
          </w:p>
        </w:tc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4D653" w14:textId="0EE6EE84" w:rsidR="00295DB6" w:rsidRPr="000E2396" w:rsidRDefault="00384803" w:rsidP="00B86C97">
            <w:hyperlink r:id="rId17" w:history="1">
              <w:r w:rsidR="000E2396" w:rsidRPr="00171295">
                <w:rPr>
                  <w:rStyle w:val="Hyperlink"/>
                </w:rPr>
                <w:t>SA Public Sector Wage Parity Enterprise Agreement: Weekly Paid 2017</w:t>
              </w:r>
            </w:hyperlink>
          </w:p>
        </w:tc>
      </w:tr>
    </w:tbl>
    <w:p w14:paraId="60B3A5C7" w14:textId="19EDC73B" w:rsidR="009421C6" w:rsidRDefault="007B7649" w:rsidP="00CC1E83">
      <w:pPr>
        <w:pStyle w:val="Heading1"/>
        <w:spacing w:before="400"/>
        <w:ind w:left="431" w:hanging="431"/>
      </w:pPr>
      <w:bookmarkStart w:id="8" w:name="_Toc25828947"/>
      <w:r>
        <w:t xml:space="preserve">Variation in </w:t>
      </w:r>
      <w:r w:rsidR="00485729">
        <w:t>Hours</w:t>
      </w:r>
      <w:bookmarkEnd w:id="8"/>
    </w:p>
    <w:p w14:paraId="0A180FA4" w14:textId="77777777" w:rsidR="003E0417" w:rsidRPr="003E0417" w:rsidRDefault="003E0417" w:rsidP="003E0417"/>
    <w:p w14:paraId="5C7B538E" w14:textId="3C478BA9" w:rsidR="00312126" w:rsidRDefault="0037226C" w:rsidP="000B720A">
      <w:pPr>
        <w:jc w:val="both"/>
        <w:rPr>
          <w:rFonts w:cs="Arial"/>
          <w:szCs w:val="22"/>
        </w:rPr>
      </w:pPr>
      <w:r w:rsidRPr="0037226C">
        <w:rPr>
          <w:rFonts w:cs="Arial"/>
          <w:szCs w:val="22"/>
        </w:rPr>
        <w:t xml:space="preserve">Increases and decreases in working hours may be negotiated for specific periods of time either on an ad hoc basis/short-term basis/long term basis or in an ongoing capacity to undertake additional workloads or </w:t>
      </w:r>
      <w:r w:rsidRPr="0037226C">
        <w:rPr>
          <w:rFonts w:cs="Arial"/>
          <w:szCs w:val="22"/>
        </w:rPr>
        <w:lastRenderedPageBreak/>
        <w:t>to allow employees to better balance their work, personal life and family commitments</w:t>
      </w:r>
      <w:r>
        <w:rPr>
          <w:rFonts w:cs="Arial"/>
          <w:szCs w:val="22"/>
        </w:rPr>
        <w:t xml:space="preserve"> in line</w:t>
      </w:r>
      <w:r w:rsidR="00312126">
        <w:rPr>
          <w:rFonts w:cs="Arial"/>
          <w:szCs w:val="22"/>
        </w:rPr>
        <w:t xml:space="preserve"> with the business needs</w:t>
      </w:r>
      <w:r w:rsidR="00AB4BA0">
        <w:rPr>
          <w:rFonts w:cs="Arial"/>
          <w:szCs w:val="22"/>
        </w:rPr>
        <w:t xml:space="preserve"> of a workgroup</w:t>
      </w:r>
      <w:r w:rsidRPr="0037226C">
        <w:rPr>
          <w:rFonts w:cs="Arial"/>
          <w:szCs w:val="22"/>
        </w:rPr>
        <w:t xml:space="preserve">. </w:t>
      </w:r>
    </w:p>
    <w:p w14:paraId="30A54AA1" w14:textId="502CDDFA" w:rsidR="00C20506" w:rsidRDefault="00C20506" w:rsidP="000B720A">
      <w:pPr>
        <w:jc w:val="both"/>
        <w:rPr>
          <w:rFonts w:cs="Arial"/>
          <w:szCs w:val="22"/>
        </w:rPr>
      </w:pPr>
    </w:p>
    <w:p w14:paraId="02659FA7" w14:textId="06F189F0" w:rsidR="00C63C2F" w:rsidRDefault="00C20506" w:rsidP="000B720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There are specific entitlements and provisions for employees returning to the work place from maternity and adoption leave on a part time basis</w:t>
      </w:r>
      <w:r w:rsidR="00EF5837">
        <w:rPr>
          <w:rFonts w:cs="Arial"/>
          <w:szCs w:val="22"/>
        </w:rPr>
        <w:t xml:space="preserve"> which should be considered alongside this policy</w:t>
      </w:r>
      <w:r w:rsidR="00C63C2F">
        <w:rPr>
          <w:rFonts w:cs="Arial"/>
          <w:szCs w:val="22"/>
        </w:rPr>
        <w:t>:</w:t>
      </w:r>
      <w:r w:rsidR="00112D56">
        <w:rPr>
          <w:rFonts w:cs="Arial"/>
          <w:szCs w:val="22"/>
        </w:rPr>
        <w:t xml:space="preserve"> </w:t>
      </w:r>
    </w:p>
    <w:p w14:paraId="17D265AD" w14:textId="676C4F2B" w:rsidR="00C63C2F" w:rsidRPr="00EF5837" w:rsidRDefault="00384803" w:rsidP="00BA65F2">
      <w:pPr>
        <w:pStyle w:val="ListParagraph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Arial"/>
          <w:szCs w:val="22"/>
        </w:rPr>
      </w:pPr>
      <w:hyperlink r:id="rId18" w:history="1">
        <w:r w:rsidR="00112D56" w:rsidRPr="00EF5837">
          <w:rPr>
            <w:rStyle w:val="Hyperlink"/>
            <w:rFonts w:cs="Arial"/>
            <w:szCs w:val="22"/>
          </w:rPr>
          <w:t>13.5 SA Modern Public Sector Enterprise Agreement Salaried 2017</w:t>
        </w:r>
      </w:hyperlink>
      <w:r w:rsidR="00C20506" w:rsidRPr="00EF5837">
        <w:rPr>
          <w:rFonts w:cs="Arial"/>
          <w:szCs w:val="22"/>
        </w:rPr>
        <w:t xml:space="preserve">.  </w:t>
      </w:r>
    </w:p>
    <w:p w14:paraId="167B9C26" w14:textId="6B8B506C" w:rsidR="00C63C2F" w:rsidRPr="00BA65F2" w:rsidRDefault="00BF17B8" w:rsidP="00BA65F2">
      <w:pPr>
        <w:pStyle w:val="ListParagraph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Arial"/>
          <w:szCs w:val="22"/>
        </w:rPr>
      </w:pPr>
      <w:r w:rsidRPr="00BA65F2">
        <w:rPr>
          <w:rFonts w:cs="Arial"/>
          <w:szCs w:val="22"/>
        </w:rPr>
        <w:t>4.7 TAFE SA Educational Staff Enterprise Agreement 2016</w:t>
      </w:r>
    </w:p>
    <w:p w14:paraId="794E4534" w14:textId="41F2F694" w:rsidR="00C63C2F" w:rsidRPr="00BA65F2" w:rsidRDefault="00BF17B8" w:rsidP="00BA65F2">
      <w:pPr>
        <w:pStyle w:val="ListParagraph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Arial"/>
          <w:szCs w:val="22"/>
        </w:rPr>
      </w:pPr>
      <w:r w:rsidRPr="00BA65F2">
        <w:rPr>
          <w:rFonts w:cs="Arial"/>
          <w:szCs w:val="22"/>
        </w:rPr>
        <w:t>49.10 South Australian Public Sector Wages Parity Enterprise Agreement Weekly Paid 2017</w:t>
      </w:r>
    </w:p>
    <w:p w14:paraId="21F0DC51" w14:textId="7CB6DC10" w:rsidR="00312126" w:rsidRPr="000B720A" w:rsidRDefault="00BF17B8" w:rsidP="00BA65F2">
      <w:pPr>
        <w:pStyle w:val="ListParagraph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Arial"/>
          <w:szCs w:val="22"/>
        </w:rPr>
      </w:pPr>
      <w:r w:rsidRPr="005F1917">
        <w:rPr>
          <w:rFonts w:cs="Arial"/>
          <w:szCs w:val="22"/>
        </w:rPr>
        <w:t xml:space="preserve">12.3 South Australian Public </w:t>
      </w:r>
      <w:proofErr w:type="spellStart"/>
      <w:r w:rsidRPr="005F1917">
        <w:rPr>
          <w:rFonts w:cs="Arial"/>
          <w:szCs w:val="22"/>
        </w:rPr>
        <w:t>Secor</w:t>
      </w:r>
      <w:proofErr w:type="spellEnd"/>
      <w:r w:rsidRPr="005F1917">
        <w:rPr>
          <w:rFonts w:cs="Arial"/>
          <w:szCs w:val="22"/>
        </w:rPr>
        <w:t xml:space="preserve"> Wages Parity EA – Plumbing, Metal &amp; Building Trades </w:t>
      </w:r>
    </w:p>
    <w:p w14:paraId="1F48DF07" w14:textId="77777777" w:rsidR="000B720A" w:rsidRDefault="000B720A" w:rsidP="000B720A">
      <w:pPr>
        <w:jc w:val="both"/>
        <w:rPr>
          <w:rFonts w:cs="Arial"/>
          <w:szCs w:val="22"/>
        </w:rPr>
      </w:pPr>
    </w:p>
    <w:p w14:paraId="517CD559" w14:textId="0E253997" w:rsidR="005E4619" w:rsidRDefault="0037226C" w:rsidP="00BA65F2">
      <w:pPr>
        <w:jc w:val="both"/>
        <w:rPr>
          <w:rFonts w:cs="Arial"/>
          <w:szCs w:val="22"/>
        </w:rPr>
      </w:pPr>
      <w:r w:rsidRPr="0037226C">
        <w:rPr>
          <w:rFonts w:cs="Arial"/>
          <w:szCs w:val="22"/>
        </w:rPr>
        <w:t xml:space="preserve">Additional hours must not be confused with a Section 46 </w:t>
      </w:r>
      <w:r w:rsidR="00F361E3">
        <w:rPr>
          <w:rFonts w:cs="Arial"/>
          <w:szCs w:val="22"/>
        </w:rPr>
        <w:t xml:space="preserve">PS Act </w:t>
      </w:r>
      <w:r w:rsidRPr="0037226C">
        <w:rPr>
          <w:rFonts w:cs="Arial"/>
          <w:szCs w:val="22"/>
        </w:rPr>
        <w:t>Additional Duties Allowance. All increases and decreases in hours need to be approved by a</w:t>
      </w:r>
      <w:r w:rsidR="00312126">
        <w:rPr>
          <w:rFonts w:cs="Arial"/>
          <w:szCs w:val="22"/>
        </w:rPr>
        <w:t xml:space="preserve"> delegate </w:t>
      </w:r>
      <w:r w:rsidRPr="0037226C">
        <w:rPr>
          <w:rFonts w:cs="Arial"/>
          <w:szCs w:val="22"/>
        </w:rPr>
        <w:t xml:space="preserve">on a Variation in Hours form </w:t>
      </w:r>
      <w:r w:rsidR="00EF5837">
        <w:rPr>
          <w:rFonts w:cs="Arial"/>
          <w:szCs w:val="22"/>
        </w:rPr>
        <w:br/>
      </w:r>
      <w:r w:rsidRPr="0037226C">
        <w:rPr>
          <w:rFonts w:cs="Arial"/>
          <w:szCs w:val="22"/>
        </w:rPr>
        <w:t>(HRB 9).</w:t>
      </w:r>
    </w:p>
    <w:p w14:paraId="3AB36A34" w14:textId="77777777" w:rsidR="007B7649" w:rsidRPr="007B7649" w:rsidRDefault="007B7649" w:rsidP="00BA65F2">
      <w:pPr>
        <w:jc w:val="both"/>
        <w:rPr>
          <w:rFonts w:cs="Arial"/>
          <w:szCs w:val="22"/>
        </w:rPr>
      </w:pPr>
    </w:p>
    <w:p w14:paraId="04591C0D" w14:textId="64170AFB" w:rsidR="000B720A" w:rsidRDefault="007B7649" w:rsidP="000B720A">
      <w:pPr>
        <w:jc w:val="both"/>
        <w:rPr>
          <w:rFonts w:cs="Arial"/>
          <w:szCs w:val="22"/>
        </w:rPr>
      </w:pPr>
      <w:r w:rsidRPr="007B7649">
        <w:rPr>
          <w:rFonts w:cs="Arial"/>
          <w:szCs w:val="22"/>
        </w:rPr>
        <w:t>Note:</w:t>
      </w:r>
      <w:r>
        <w:rPr>
          <w:rFonts w:cs="Arial"/>
          <w:szCs w:val="22"/>
        </w:rPr>
        <w:t xml:space="preserve"> </w:t>
      </w:r>
      <w:r w:rsidRPr="007B7649">
        <w:rPr>
          <w:rFonts w:cs="Arial"/>
          <w:szCs w:val="22"/>
        </w:rPr>
        <w:t>A</w:t>
      </w:r>
      <w:r w:rsidR="00967552">
        <w:rPr>
          <w:rFonts w:cs="Arial"/>
          <w:szCs w:val="22"/>
        </w:rPr>
        <w:t xml:space="preserve"> variation in hours is a voluntary arrangement between both parties and cannot be enforced.</w:t>
      </w:r>
    </w:p>
    <w:p w14:paraId="630D36FE" w14:textId="77777777" w:rsidR="000B720A" w:rsidRDefault="000B720A" w:rsidP="00BA65F2">
      <w:pPr>
        <w:jc w:val="both"/>
        <w:rPr>
          <w:rFonts w:cs="Arial"/>
          <w:szCs w:val="22"/>
        </w:rPr>
      </w:pPr>
    </w:p>
    <w:p w14:paraId="13DCA146" w14:textId="7CBA2D83" w:rsidR="005E4619" w:rsidRPr="005E4619" w:rsidRDefault="007B7649" w:rsidP="00BA65F2">
      <w:pPr>
        <w:pStyle w:val="Heading2"/>
        <w:spacing w:before="0"/>
        <w:ind w:left="709" w:hanging="709"/>
      </w:pPr>
      <w:bookmarkStart w:id="9" w:name="_Toc25828948"/>
      <w:r>
        <w:t>Increasing Hours</w:t>
      </w:r>
      <w:bookmarkEnd w:id="9"/>
    </w:p>
    <w:p w14:paraId="1223B926" w14:textId="77777777" w:rsidR="005E4619" w:rsidRPr="00BA65F2" w:rsidRDefault="005E4619" w:rsidP="00BA65F2">
      <w:pPr>
        <w:ind w:left="360" w:hanging="850"/>
        <w:jc w:val="both"/>
        <w:rPr>
          <w:rFonts w:cs="Arial"/>
          <w:szCs w:val="22"/>
        </w:rPr>
      </w:pPr>
    </w:p>
    <w:p w14:paraId="5408E3ED" w14:textId="110DBAFD" w:rsidR="005E4619" w:rsidRDefault="00D21A03" w:rsidP="00BA65F2">
      <w:pPr>
        <w:rPr>
          <w:rFonts w:cs="Arial"/>
          <w:szCs w:val="22"/>
        </w:rPr>
      </w:pPr>
      <w:r w:rsidRPr="00DB08AD">
        <w:rPr>
          <w:rFonts w:cs="Arial"/>
          <w:szCs w:val="22"/>
        </w:rPr>
        <w:t>Due to organisation</w:t>
      </w:r>
      <w:r w:rsidR="0071632A">
        <w:rPr>
          <w:rFonts w:cs="Arial"/>
          <w:szCs w:val="22"/>
        </w:rPr>
        <w:t>al</w:t>
      </w:r>
      <w:r w:rsidRPr="00DB08AD">
        <w:rPr>
          <w:rFonts w:cs="Arial"/>
          <w:szCs w:val="22"/>
        </w:rPr>
        <w:t xml:space="preserve"> needs and work commitments managers may request an employee </w:t>
      </w:r>
      <w:r w:rsidR="005D5FE7">
        <w:rPr>
          <w:rFonts w:cs="Arial"/>
          <w:szCs w:val="22"/>
        </w:rPr>
        <w:t>who work</w:t>
      </w:r>
      <w:r w:rsidR="003B4494">
        <w:rPr>
          <w:rFonts w:cs="Arial"/>
          <w:szCs w:val="22"/>
        </w:rPr>
        <w:t>s</w:t>
      </w:r>
      <w:r w:rsidR="005D5FE7">
        <w:rPr>
          <w:rFonts w:cs="Arial"/>
          <w:szCs w:val="22"/>
        </w:rPr>
        <w:t xml:space="preserve"> on a part time basis </w:t>
      </w:r>
      <w:r w:rsidRPr="00DB08AD">
        <w:rPr>
          <w:rFonts w:cs="Arial"/>
          <w:szCs w:val="22"/>
        </w:rPr>
        <w:t xml:space="preserve">to increase their hours to </w:t>
      </w:r>
      <w:r w:rsidR="00352675">
        <w:rPr>
          <w:rFonts w:cs="Arial"/>
          <w:szCs w:val="22"/>
        </w:rPr>
        <w:t>manage</w:t>
      </w:r>
      <w:r w:rsidR="00352675" w:rsidRPr="00DB08AD">
        <w:rPr>
          <w:rFonts w:cs="Arial"/>
          <w:szCs w:val="22"/>
        </w:rPr>
        <w:t xml:space="preserve"> </w:t>
      </w:r>
      <w:r w:rsidRPr="00DB08AD">
        <w:rPr>
          <w:rFonts w:cs="Arial"/>
          <w:szCs w:val="22"/>
        </w:rPr>
        <w:t xml:space="preserve">additional workloads.  Managers </w:t>
      </w:r>
      <w:r w:rsidRPr="000E2396">
        <w:rPr>
          <w:rFonts w:cs="Arial"/>
          <w:szCs w:val="22"/>
        </w:rPr>
        <w:t>must</w:t>
      </w:r>
      <w:r w:rsidRPr="00DB08AD">
        <w:rPr>
          <w:rFonts w:cs="Arial"/>
          <w:szCs w:val="22"/>
        </w:rPr>
        <w:t xml:space="preserve"> ensure employees are aware that short-term additional hours </w:t>
      </w:r>
      <w:r w:rsidR="0071632A">
        <w:rPr>
          <w:rFonts w:cs="Arial"/>
          <w:szCs w:val="22"/>
        </w:rPr>
        <w:t xml:space="preserve">will </w:t>
      </w:r>
      <w:r w:rsidRPr="00DB08AD">
        <w:rPr>
          <w:rFonts w:cs="Arial"/>
          <w:szCs w:val="22"/>
        </w:rPr>
        <w:t>increase</w:t>
      </w:r>
      <w:r w:rsidR="00672E25">
        <w:rPr>
          <w:rFonts w:cs="Arial"/>
          <w:szCs w:val="22"/>
        </w:rPr>
        <w:t xml:space="preserve"> their </w:t>
      </w:r>
      <w:r w:rsidRPr="00DB08AD">
        <w:rPr>
          <w:rFonts w:cs="Arial"/>
          <w:szCs w:val="22"/>
        </w:rPr>
        <w:t>leave entitlements and effective service provisions</w:t>
      </w:r>
      <w:r>
        <w:rPr>
          <w:rFonts w:cs="Arial"/>
          <w:szCs w:val="22"/>
        </w:rPr>
        <w:t>.</w:t>
      </w:r>
    </w:p>
    <w:p w14:paraId="74999E65" w14:textId="445E7291" w:rsidR="00D21A03" w:rsidRDefault="00D21A03" w:rsidP="00BA65F2">
      <w:pPr>
        <w:rPr>
          <w:rFonts w:cs="Arial"/>
          <w:szCs w:val="22"/>
        </w:rPr>
      </w:pPr>
    </w:p>
    <w:p w14:paraId="765DF179" w14:textId="56CB323B" w:rsidR="00D21A03" w:rsidRDefault="00352675" w:rsidP="00BA65F2">
      <w:pPr>
        <w:rPr>
          <w:rFonts w:cs="Arial"/>
          <w:szCs w:val="22"/>
        </w:rPr>
      </w:pPr>
      <w:r>
        <w:rPr>
          <w:rFonts w:cs="Arial"/>
          <w:szCs w:val="22"/>
        </w:rPr>
        <w:t xml:space="preserve">It is the </w:t>
      </w:r>
      <w:r w:rsidR="00672E25">
        <w:rPr>
          <w:rFonts w:cs="Arial"/>
          <w:szCs w:val="22"/>
        </w:rPr>
        <w:t>Line M</w:t>
      </w:r>
      <w:r>
        <w:rPr>
          <w:rFonts w:cs="Arial"/>
          <w:szCs w:val="22"/>
        </w:rPr>
        <w:t>anager</w:t>
      </w:r>
      <w:r w:rsidR="00672E25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s responsibility to </w:t>
      </w:r>
      <w:r w:rsidR="00D21A03">
        <w:rPr>
          <w:rFonts w:cs="Arial"/>
          <w:szCs w:val="22"/>
        </w:rPr>
        <w:t xml:space="preserve">ensure that when considering an increase in hours that it </w:t>
      </w:r>
      <w:r w:rsidR="00AB4BA0">
        <w:rPr>
          <w:rFonts w:cs="Arial"/>
          <w:szCs w:val="22"/>
        </w:rPr>
        <w:t xml:space="preserve">correlates </w:t>
      </w:r>
      <w:r w:rsidR="00D21A03">
        <w:rPr>
          <w:rFonts w:cs="Arial"/>
          <w:szCs w:val="22"/>
        </w:rPr>
        <w:t>with the approved</w:t>
      </w:r>
      <w:r w:rsidR="003B4494">
        <w:rPr>
          <w:rFonts w:cs="Arial"/>
          <w:szCs w:val="22"/>
        </w:rPr>
        <w:t xml:space="preserve"> </w:t>
      </w:r>
      <w:r w:rsidR="00AB4BA0">
        <w:rPr>
          <w:rFonts w:cs="Arial"/>
          <w:szCs w:val="22"/>
        </w:rPr>
        <w:t xml:space="preserve">FTE structure of the </w:t>
      </w:r>
      <w:r w:rsidR="00D21A03">
        <w:rPr>
          <w:rFonts w:cs="Arial"/>
          <w:szCs w:val="22"/>
        </w:rPr>
        <w:t>workgroup and approved budget for the relevant financial year.</w:t>
      </w:r>
    </w:p>
    <w:p w14:paraId="767E2FE7" w14:textId="6200964B" w:rsidR="00D21A03" w:rsidRDefault="00D21A03" w:rsidP="00BA65F2">
      <w:pPr>
        <w:rPr>
          <w:rFonts w:cs="Arial"/>
          <w:szCs w:val="22"/>
        </w:rPr>
      </w:pPr>
    </w:p>
    <w:p w14:paraId="4B92B24F" w14:textId="638EFCD8" w:rsidR="00D21A03" w:rsidRDefault="00D21A03" w:rsidP="00BA65F2">
      <w:pPr>
        <w:rPr>
          <w:rFonts w:cs="Arial"/>
          <w:szCs w:val="22"/>
        </w:rPr>
      </w:pPr>
      <w:bookmarkStart w:id="10" w:name="_Hlk20236503"/>
      <w:r>
        <w:rPr>
          <w:rFonts w:cs="Arial"/>
          <w:szCs w:val="22"/>
        </w:rPr>
        <w:t>In instances whe</w:t>
      </w:r>
      <w:r w:rsidR="005D5FE7">
        <w:rPr>
          <w:rFonts w:cs="Arial"/>
          <w:szCs w:val="22"/>
        </w:rPr>
        <w:t>re</w:t>
      </w:r>
      <w:r>
        <w:rPr>
          <w:rFonts w:cs="Arial"/>
          <w:szCs w:val="22"/>
        </w:rPr>
        <w:t xml:space="preserve"> there is an arrangement in place for a </w:t>
      </w:r>
      <w:r w:rsidR="00352675">
        <w:rPr>
          <w:rFonts w:cs="Arial"/>
          <w:szCs w:val="22"/>
        </w:rPr>
        <w:t xml:space="preserve">longer </w:t>
      </w:r>
      <w:r>
        <w:rPr>
          <w:rFonts w:cs="Arial"/>
          <w:szCs w:val="22"/>
        </w:rPr>
        <w:t>period, this should no</w:t>
      </w:r>
      <w:r w:rsidR="00FE724A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 exceed two years.  In </w:t>
      </w:r>
      <w:r w:rsidRPr="000E2396">
        <w:rPr>
          <w:rFonts w:cs="Arial"/>
          <w:szCs w:val="22"/>
        </w:rPr>
        <w:t xml:space="preserve">doing so, it </w:t>
      </w:r>
      <w:r w:rsidR="005D5FE7" w:rsidRPr="000E2396">
        <w:rPr>
          <w:rFonts w:cs="Arial"/>
          <w:szCs w:val="22"/>
        </w:rPr>
        <w:t>may</w:t>
      </w:r>
      <w:r w:rsidRPr="000E2396">
        <w:rPr>
          <w:rFonts w:cs="Arial"/>
          <w:szCs w:val="22"/>
        </w:rPr>
        <w:t xml:space="preserve"> be deemed by the employee that the increase in hours becomes their substantive hours of engagement</w:t>
      </w:r>
      <w:bookmarkEnd w:id="10"/>
      <w:r>
        <w:rPr>
          <w:rFonts w:cs="Arial"/>
          <w:szCs w:val="22"/>
        </w:rPr>
        <w:t>.</w:t>
      </w:r>
    </w:p>
    <w:p w14:paraId="0833C9BD" w14:textId="77777777" w:rsidR="00D21A03" w:rsidRPr="006B7120" w:rsidRDefault="00D21A03" w:rsidP="00BA65F2">
      <w:pPr>
        <w:rPr>
          <w:rFonts w:cs="Arial"/>
          <w:szCs w:val="22"/>
        </w:rPr>
      </w:pPr>
    </w:p>
    <w:p w14:paraId="4B4E819A" w14:textId="56B91222" w:rsidR="005E4619" w:rsidRDefault="007B7649" w:rsidP="00BA65F2">
      <w:pPr>
        <w:rPr>
          <w:rFonts w:cs="Arial"/>
          <w:szCs w:val="22"/>
        </w:rPr>
      </w:pPr>
      <w:r w:rsidRPr="007B7649">
        <w:rPr>
          <w:rFonts w:cs="Arial"/>
          <w:szCs w:val="22"/>
        </w:rPr>
        <w:t>Note:</w:t>
      </w:r>
      <w:r>
        <w:rPr>
          <w:rFonts w:cs="Arial"/>
          <w:szCs w:val="22"/>
        </w:rPr>
        <w:t xml:space="preserve"> </w:t>
      </w:r>
      <w:r w:rsidR="0071632A">
        <w:rPr>
          <w:rFonts w:cs="Arial"/>
          <w:szCs w:val="22"/>
        </w:rPr>
        <w:t xml:space="preserve">Increases in hours </w:t>
      </w:r>
      <w:r w:rsidRPr="007B7649">
        <w:rPr>
          <w:rFonts w:cs="Arial"/>
          <w:szCs w:val="22"/>
        </w:rPr>
        <w:t xml:space="preserve">are not to be claimed as </w:t>
      </w:r>
      <w:r>
        <w:rPr>
          <w:rFonts w:cs="Arial"/>
          <w:szCs w:val="22"/>
        </w:rPr>
        <w:t>Flexi or over</w:t>
      </w:r>
      <w:r w:rsidRPr="007B7649">
        <w:rPr>
          <w:rFonts w:cs="Arial"/>
          <w:szCs w:val="22"/>
        </w:rPr>
        <w:t>time unless the employee has worked in excess of 8 hours per day</w:t>
      </w:r>
      <w:r w:rsidR="00AB4BA0">
        <w:rPr>
          <w:rFonts w:cs="Arial"/>
          <w:szCs w:val="22"/>
        </w:rPr>
        <w:t xml:space="preserve"> (PS Act)</w:t>
      </w:r>
      <w:r w:rsidRPr="007B7649">
        <w:rPr>
          <w:rFonts w:cs="Arial"/>
          <w:szCs w:val="22"/>
        </w:rPr>
        <w:t xml:space="preserve">.  </w:t>
      </w:r>
    </w:p>
    <w:p w14:paraId="14F9979E" w14:textId="77777777" w:rsidR="000B720A" w:rsidRDefault="000B720A" w:rsidP="00BA65F2">
      <w:pPr>
        <w:jc w:val="both"/>
        <w:rPr>
          <w:rFonts w:cs="Arial"/>
          <w:szCs w:val="22"/>
        </w:rPr>
      </w:pPr>
    </w:p>
    <w:p w14:paraId="57ACC24E" w14:textId="26D1F503" w:rsidR="005E4619" w:rsidRDefault="007B7649" w:rsidP="00BA65F2">
      <w:pPr>
        <w:pStyle w:val="Heading2"/>
        <w:spacing w:before="0"/>
        <w:ind w:left="709" w:hanging="709"/>
      </w:pPr>
      <w:bookmarkStart w:id="11" w:name="_Toc25828949"/>
      <w:r>
        <w:t>Decreasing Hours</w:t>
      </w:r>
      <w:bookmarkEnd w:id="11"/>
    </w:p>
    <w:p w14:paraId="19A71E7A" w14:textId="77777777" w:rsidR="005E4619" w:rsidRPr="00BA65F2" w:rsidRDefault="005E4619" w:rsidP="00DC6110">
      <w:pPr>
        <w:ind w:left="1134" w:hanging="567"/>
        <w:jc w:val="both"/>
        <w:rPr>
          <w:rFonts w:cs="Arial"/>
          <w:szCs w:val="22"/>
        </w:rPr>
      </w:pPr>
    </w:p>
    <w:p w14:paraId="3EB5CB2B" w14:textId="153527DF" w:rsidR="00D21A03" w:rsidRPr="00BA65F2" w:rsidRDefault="0071632A" w:rsidP="00BA65F2">
      <w:pPr>
        <w:rPr>
          <w:rFonts w:cs="Arial"/>
          <w:szCs w:val="22"/>
        </w:rPr>
      </w:pPr>
      <w:r w:rsidRPr="00BA65F2">
        <w:rPr>
          <w:rFonts w:cs="Arial"/>
          <w:szCs w:val="22"/>
        </w:rPr>
        <w:t xml:space="preserve">A temporary or ongoing decrease in an employee’s substantive hours may be negotiated with the Line Manager in line with business requirements.  </w:t>
      </w:r>
      <w:r w:rsidR="00E3022A" w:rsidRPr="00BA65F2">
        <w:rPr>
          <w:rFonts w:cs="Arial"/>
          <w:szCs w:val="22"/>
        </w:rPr>
        <w:t xml:space="preserve">The need to decrease hours may be as a result of worklife balance, illness, </w:t>
      </w:r>
      <w:r w:rsidR="004F78BF" w:rsidRPr="00BA65F2">
        <w:rPr>
          <w:rFonts w:cs="Arial"/>
          <w:szCs w:val="22"/>
        </w:rPr>
        <w:t>etc in</w:t>
      </w:r>
      <w:r w:rsidRPr="00BA65F2">
        <w:rPr>
          <w:rFonts w:cs="Arial"/>
          <w:szCs w:val="22"/>
        </w:rPr>
        <w:t xml:space="preserve"> </w:t>
      </w:r>
      <w:r w:rsidR="004F78BF" w:rsidRPr="00BA65F2">
        <w:rPr>
          <w:rFonts w:cs="Arial"/>
          <w:szCs w:val="22"/>
        </w:rPr>
        <w:t xml:space="preserve">line with the </w:t>
      </w:r>
      <w:r w:rsidR="00AB4BA0" w:rsidRPr="00BA65F2">
        <w:rPr>
          <w:rFonts w:cs="Arial"/>
          <w:szCs w:val="22"/>
        </w:rPr>
        <w:t xml:space="preserve">TAFE SA </w:t>
      </w:r>
      <w:r w:rsidR="004F78BF" w:rsidRPr="00BA65F2">
        <w:rPr>
          <w:rFonts w:cs="Arial"/>
          <w:szCs w:val="22"/>
        </w:rPr>
        <w:t>Voluntary Flexible Working Arrangements Policy.</w:t>
      </w:r>
    </w:p>
    <w:p w14:paraId="4B96C104" w14:textId="71778F77" w:rsidR="004F78BF" w:rsidRPr="00BA65F2" w:rsidRDefault="004F78BF" w:rsidP="00BA65F2">
      <w:pPr>
        <w:rPr>
          <w:rFonts w:cs="Arial"/>
          <w:szCs w:val="22"/>
        </w:rPr>
      </w:pPr>
    </w:p>
    <w:p w14:paraId="4B949332" w14:textId="75437693" w:rsidR="000B720A" w:rsidRDefault="004F78BF" w:rsidP="00BA65F2">
      <w:pPr>
        <w:rPr>
          <w:rFonts w:cs="Arial"/>
          <w:szCs w:val="22"/>
        </w:rPr>
      </w:pPr>
      <w:r>
        <w:rPr>
          <w:rFonts w:cs="Arial"/>
          <w:szCs w:val="22"/>
        </w:rPr>
        <w:t xml:space="preserve">In instances </w:t>
      </w:r>
      <w:r w:rsidR="003B4494">
        <w:rPr>
          <w:rFonts w:cs="Arial"/>
          <w:szCs w:val="22"/>
        </w:rPr>
        <w:t xml:space="preserve">where </w:t>
      </w:r>
      <w:r>
        <w:rPr>
          <w:rFonts w:cs="Arial"/>
          <w:szCs w:val="22"/>
        </w:rPr>
        <w:t xml:space="preserve">there is an arrangement in place for a </w:t>
      </w:r>
      <w:r w:rsidR="00FE724A">
        <w:rPr>
          <w:rFonts w:cs="Arial"/>
          <w:szCs w:val="22"/>
        </w:rPr>
        <w:t xml:space="preserve">longer </w:t>
      </w:r>
      <w:r>
        <w:rPr>
          <w:rFonts w:cs="Arial"/>
          <w:szCs w:val="22"/>
        </w:rPr>
        <w:t>period, this should no</w:t>
      </w:r>
      <w:r w:rsidR="0071632A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 exceed two years.  In doing so, </w:t>
      </w:r>
      <w:r w:rsidRPr="000E2396">
        <w:rPr>
          <w:rFonts w:cs="Arial"/>
          <w:szCs w:val="22"/>
        </w:rPr>
        <w:t xml:space="preserve">it </w:t>
      </w:r>
      <w:r w:rsidR="005D5FE7" w:rsidRPr="000E2396">
        <w:rPr>
          <w:rFonts w:cs="Arial"/>
          <w:szCs w:val="22"/>
        </w:rPr>
        <w:t xml:space="preserve">may </w:t>
      </w:r>
      <w:r w:rsidRPr="000E2396">
        <w:rPr>
          <w:rFonts w:cs="Arial"/>
          <w:szCs w:val="22"/>
        </w:rPr>
        <w:t>be deemed by the employe</w:t>
      </w:r>
      <w:r w:rsidR="005D5FE7" w:rsidRPr="000E2396">
        <w:rPr>
          <w:rFonts w:cs="Arial"/>
          <w:szCs w:val="22"/>
        </w:rPr>
        <w:t>r</w:t>
      </w:r>
      <w:r w:rsidRPr="000E2396">
        <w:rPr>
          <w:rFonts w:cs="Arial"/>
          <w:szCs w:val="22"/>
        </w:rPr>
        <w:t xml:space="preserve"> that the decrease in hours becomes their substantive hours of engagement</w:t>
      </w:r>
      <w:r>
        <w:rPr>
          <w:rFonts w:cs="Arial"/>
          <w:szCs w:val="22"/>
        </w:rPr>
        <w:t>.</w:t>
      </w:r>
    </w:p>
    <w:p w14:paraId="0C2E1CED" w14:textId="77777777" w:rsidR="004F78BF" w:rsidRPr="00F14E6B" w:rsidRDefault="004F78BF" w:rsidP="00BA65F2"/>
    <w:p w14:paraId="1DA4555C" w14:textId="270F8FD2" w:rsidR="005E4619" w:rsidRPr="005E4619" w:rsidRDefault="004F78BF" w:rsidP="00BA65F2">
      <w:pPr>
        <w:pStyle w:val="Heading2"/>
        <w:spacing w:before="0"/>
        <w:ind w:left="709" w:hanging="709"/>
      </w:pPr>
      <w:bookmarkStart w:id="12" w:name="_Toc25828950"/>
      <w:r>
        <w:t>Processing of HRB9 – Variation in Hours</w:t>
      </w:r>
      <w:bookmarkEnd w:id="12"/>
    </w:p>
    <w:p w14:paraId="446B5A3A" w14:textId="77777777" w:rsidR="005E4619" w:rsidRPr="007A00FC" w:rsidRDefault="005E4619" w:rsidP="00BA65F2">
      <w:pPr>
        <w:ind w:left="709" w:hanging="709"/>
        <w:rPr>
          <w:rFonts w:cs="Arial"/>
          <w:sz w:val="8"/>
          <w:szCs w:val="8"/>
        </w:rPr>
      </w:pPr>
    </w:p>
    <w:p w14:paraId="07F11E7A" w14:textId="4D168B3C" w:rsidR="005E4619" w:rsidRDefault="004F78BF" w:rsidP="00BA65F2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352675">
        <w:rPr>
          <w:rFonts w:cs="Arial"/>
          <w:szCs w:val="22"/>
        </w:rPr>
        <w:t xml:space="preserve">TAFE SA </w:t>
      </w:r>
      <w:hyperlink r:id="rId19" w:history="1">
        <w:r w:rsidR="002E393D" w:rsidRPr="005F5937">
          <w:rPr>
            <w:rStyle w:val="Hyperlink"/>
            <w:rFonts w:cs="Arial"/>
            <w:szCs w:val="22"/>
          </w:rPr>
          <w:t>HRB9</w:t>
        </w:r>
      </w:hyperlink>
      <w:r w:rsidR="002E393D">
        <w:rPr>
          <w:rFonts w:cs="Arial"/>
          <w:szCs w:val="22"/>
        </w:rPr>
        <w:t xml:space="preserve"> Variation in Hours form is to be used to facilitate both increases and </w:t>
      </w:r>
      <w:proofErr w:type="spellStart"/>
      <w:r w:rsidR="002E393D">
        <w:rPr>
          <w:rFonts w:cs="Arial"/>
          <w:szCs w:val="22"/>
        </w:rPr>
        <w:t>descrease</w:t>
      </w:r>
      <w:proofErr w:type="spellEnd"/>
      <w:r w:rsidR="002E393D">
        <w:rPr>
          <w:rFonts w:cs="Arial"/>
          <w:szCs w:val="22"/>
        </w:rPr>
        <w:t xml:space="preserve"> in hours. </w:t>
      </w:r>
    </w:p>
    <w:p w14:paraId="37B90150" w14:textId="4F743BFE" w:rsidR="002E393D" w:rsidRDefault="002E393D" w:rsidP="00BA65F2">
      <w:pPr>
        <w:ind w:left="709" w:hanging="709"/>
        <w:rPr>
          <w:rFonts w:cs="Arial"/>
          <w:szCs w:val="22"/>
        </w:rPr>
      </w:pPr>
    </w:p>
    <w:p w14:paraId="392E68A0" w14:textId="737A5ECD" w:rsidR="002E393D" w:rsidRDefault="002E393D" w:rsidP="00BA65F2">
      <w:p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hyperlink r:id="rId20" w:history="1">
        <w:r w:rsidR="00A4681A" w:rsidRPr="00A4681A">
          <w:rPr>
            <w:rStyle w:val="Hyperlink"/>
            <w:rFonts w:cs="Arial"/>
            <w:szCs w:val="22"/>
          </w:rPr>
          <w:t>HR D</w:t>
        </w:r>
        <w:r w:rsidRPr="00A4681A">
          <w:rPr>
            <w:rStyle w:val="Hyperlink"/>
            <w:rFonts w:cs="Arial"/>
            <w:szCs w:val="22"/>
          </w:rPr>
          <w:t>elegation</w:t>
        </w:r>
      </w:hyperlink>
      <w:r>
        <w:rPr>
          <w:rFonts w:cs="Arial"/>
          <w:szCs w:val="22"/>
        </w:rPr>
        <w:t xml:space="preserve"> for approval sits at </w:t>
      </w:r>
      <w:r w:rsidR="00967552">
        <w:rPr>
          <w:rFonts w:cs="Arial"/>
          <w:szCs w:val="22"/>
        </w:rPr>
        <w:t xml:space="preserve">Level 5 or above and should be managed </w:t>
      </w:r>
      <w:r>
        <w:rPr>
          <w:rFonts w:cs="Arial"/>
          <w:szCs w:val="22"/>
        </w:rPr>
        <w:t>within the workgroup.</w:t>
      </w:r>
    </w:p>
    <w:p w14:paraId="7E63E164" w14:textId="58CAAD3E" w:rsidR="002E393D" w:rsidRDefault="002E393D" w:rsidP="00BA65F2">
      <w:pPr>
        <w:ind w:left="709" w:hanging="709"/>
        <w:rPr>
          <w:rFonts w:cs="Arial"/>
          <w:szCs w:val="22"/>
        </w:rPr>
      </w:pPr>
    </w:p>
    <w:p w14:paraId="7264FD5C" w14:textId="46418565" w:rsidR="002E393D" w:rsidRDefault="002E393D" w:rsidP="00BA65F2">
      <w:pPr>
        <w:rPr>
          <w:rFonts w:cs="Arial"/>
          <w:szCs w:val="22"/>
        </w:rPr>
      </w:pPr>
      <w:r>
        <w:rPr>
          <w:rFonts w:cs="Arial"/>
          <w:szCs w:val="22"/>
        </w:rPr>
        <w:t>Once the</w:t>
      </w:r>
      <w:r w:rsidR="003526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HRB9 Variation in Hours</w:t>
      </w:r>
      <w:r w:rsidR="00AB4BA0">
        <w:rPr>
          <w:rFonts w:cs="Arial"/>
          <w:szCs w:val="22"/>
        </w:rPr>
        <w:t xml:space="preserve"> form</w:t>
      </w:r>
      <w:r>
        <w:rPr>
          <w:rFonts w:cs="Arial"/>
          <w:szCs w:val="22"/>
        </w:rPr>
        <w:t xml:space="preserve"> is completed, it is the responsibility of the delegate to</w:t>
      </w:r>
      <w:r w:rsidR="00AB4BA0">
        <w:rPr>
          <w:rFonts w:cs="Arial"/>
          <w:szCs w:val="22"/>
        </w:rPr>
        <w:t xml:space="preserve"> forward the </w:t>
      </w:r>
      <w:r w:rsidR="00352675">
        <w:rPr>
          <w:rFonts w:cs="Arial"/>
          <w:szCs w:val="22"/>
        </w:rPr>
        <w:t>sign</w:t>
      </w:r>
      <w:r w:rsidR="00B466AC">
        <w:rPr>
          <w:rFonts w:cs="Arial"/>
          <w:szCs w:val="22"/>
        </w:rPr>
        <w:t>ed HRB9 Form</w:t>
      </w:r>
      <w:r w:rsidR="00352675">
        <w:rPr>
          <w:rFonts w:cs="Arial"/>
          <w:szCs w:val="22"/>
        </w:rPr>
        <w:t xml:space="preserve"> </w:t>
      </w:r>
      <w:r w:rsidR="003B449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Share</w:t>
      </w:r>
      <w:r w:rsidR="00AB4BA0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Services</w:t>
      </w:r>
      <w:r w:rsidR="005F5937">
        <w:rPr>
          <w:rFonts w:cs="Arial"/>
          <w:szCs w:val="22"/>
        </w:rPr>
        <w:t xml:space="preserve"> </w:t>
      </w:r>
      <w:hyperlink r:id="rId21" w:history="1">
        <w:r w:rsidR="00FD338D" w:rsidRPr="008E7A5C">
          <w:rPr>
            <w:rStyle w:val="Hyperlink"/>
            <w:rFonts w:cs="Arial"/>
            <w:szCs w:val="22"/>
          </w:rPr>
          <w:t>tafepayrolldoc@sa.gov.au</w:t>
        </w:r>
      </w:hyperlink>
      <w:r w:rsidR="00FD338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for </w:t>
      </w:r>
      <w:r w:rsidR="00CA5647">
        <w:rPr>
          <w:rFonts w:cs="Arial"/>
          <w:szCs w:val="22"/>
        </w:rPr>
        <w:t>processing within the schedule</w:t>
      </w:r>
      <w:r w:rsidR="005F5937">
        <w:rPr>
          <w:rFonts w:cs="Arial"/>
          <w:szCs w:val="22"/>
        </w:rPr>
        <w:t>d</w:t>
      </w:r>
      <w:r w:rsidR="00CA5647">
        <w:rPr>
          <w:rFonts w:cs="Arial"/>
          <w:szCs w:val="22"/>
        </w:rPr>
        <w:t xml:space="preserve"> </w:t>
      </w:r>
      <w:r w:rsidR="00CA5647">
        <w:rPr>
          <w:rFonts w:cs="Arial"/>
          <w:szCs w:val="22"/>
        </w:rPr>
        <w:lastRenderedPageBreak/>
        <w:t>Share</w:t>
      </w:r>
      <w:r w:rsidR="005D5FE7">
        <w:rPr>
          <w:rFonts w:cs="Arial"/>
          <w:szCs w:val="22"/>
        </w:rPr>
        <w:t>d</w:t>
      </w:r>
      <w:r w:rsidR="00CA5647">
        <w:rPr>
          <w:rFonts w:cs="Arial"/>
          <w:szCs w:val="22"/>
        </w:rPr>
        <w:t xml:space="preserve"> Services pay deadlines. </w:t>
      </w:r>
      <w:r w:rsidR="00AB4BA0">
        <w:rPr>
          <w:rFonts w:cs="Arial"/>
          <w:szCs w:val="22"/>
        </w:rPr>
        <w:t xml:space="preserve">The </w:t>
      </w:r>
      <w:r w:rsidR="00CA5647">
        <w:rPr>
          <w:rFonts w:cs="Arial"/>
          <w:szCs w:val="22"/>
        </w:rPr>
        <w:t>Human Resources A</w:t>
      </w:r>
      <w:r w:rsidR="00FE724A">
        <w:rPr>
          <w:rFonts w:cs="Arial"/>
          <w:szCs w:val="22"/>
        </w:rPr>
        <w:t>dvisor</w:t>
      </w:r>
      <w:r w:rsidR="00CA5647">
        <w:rPr>
          <w:rFonts w:cs="Arial"/>
          <w:szCs w:val="22"/>
        </w:rPr>
        <w:t>/B</w:t>
      </w:r>
      <w:r w:rsidR="00FE724A">
        <w:rPr>
          <w:rFonts w:cs="Arial"/>
          <w:szCs w:val="22"/>
        </w:rPr>
        <w:t xml:space="preserve">usiness </w:t>
      </w:r>
      <w:r w:rsidR="00CA5647">
        <w:rPr>
          <w:rFonts w:cs="Arial"/>
          <w:szCs w:val="22"/>
        </w:rPr>
        <w:t>P</w:t>
      </w:r>
      <w:r w:rsidR="00FE724A">
        <w:rPr>
          <w:rFonts w:cs="Arial"/>
          <w:szCs w:val="22"/>
        </w:rPr>
        <w:t>artner</w:t>
      </w:r>
      <w:r w:rsidR="00CA5647">
        <w:rPr>
          <w:rFonts w:cs="Arial"/>
          <w:szCs w:val="22"/>
        </w:rPr>
        <w:t xml:space="preserve"> </w:t>
      </w:r>
      <w:r w:rsidR="0021620A">
        <w:rPr>
          <w:rFonts w:cs="Arial"/>
          <w:szCs w:val="22"/>
        </w:rPr>
        <w:t xml:space="preserve">must  </w:t>
      </w:r>
      <w:r w:rsidR="00CA5647">
        <w:rPr>
          <w:rFonts w:cs="Arial"/>
          <w:szCs w:val="22"/>
        </w:rPr>
        <w:t>be cc in</w:t>
      </w:r>
      <w:r w:rsidR="0021620A">
        <w:rPr>
          <w:rFonts w:cs="Arial"/>
          <w:szCs w:val="22"/>
        </w:rPr>
        <w:t xml:space="preserve">to the </w:t>
      </w:r>
      <w:r w:rsidR="00CA5647">
        <w:rPr>
          <w:rFonts w:cs="Arial"/>
          <w:szCs w:val="22"/>
        </w:rPr>
        <w:t>email</w:t>
      </w:r>
      <w:r w:rsidR="0021620A">
        <w:rPr>
          <w:rFonts w:cs="Arial"/>
          <w:szCs w:val="22"/>
        </w:rPr>
        <w:t xml:space="preserve"> to Shared Services </w:t>
      </w:r>
      <w:r w:rsidR="00CA5647">
        <w:rPr>
          <w:rFonts w:cs="Arial"/>
          <w:szCs w:val="22"/>
        </w:rPr>
        <w:t>for the purpose of record</w:t>
      </w:r>
      <w:r w:rsidR="00352675">
        <w:rPr>
          <w:rFonts w:cs="Arial"/>
          <w:szCs w:val="22"/>
        </w:rPr>
        <w:t>s</w:t>
      </w:r>
      <w:r w:rsidR="00CA5647">
        <w:rPr>
          <w:rFonts w:cs="Arial"/>
          <w:szCs w:val="22"/>
        </w:rPr>
        <w:t xml:space="preserve"> management.</w:t>
      </w:r>
    </w:p>
    <w:p w14:paraId="5497AB52" w14:textId="75A2D2BB" w:rsidR="009421C6" w:rsidRDefault="00635DAE" w:rsidP="00BA65F2">
      <w:pPr>
        <w:pStyle w:val="Heading1"/>
        <w:spacing w:before="400"/>
        <w:ind w:left="431" w:hanging="431"/>
        <w:rPr>
          <w:rFonts w:cs="Arial"/>
        </w:rPr>
      </w:pPr>
      <w:bookmarkStart w:id="13" w:name="_Toc25828951"/>
      <w:bookmarkStart w:id="14" w:name="_Hlk20819743"/>
      <w:r>
        <w:rPr>
          <w:rFonts w:cs="Arial"/>
        </w:rPr>
        <w:t>R</w:t>
      </w:r>
      <w:r w:rsidR="009421C6" w:rsidRPr="00287EE2">
        <w:rPr>
          <w:rFonts w:cs="Arial"/>
        </w:rPr>
        <w:t>esponsibilities</w:t>
      </w:r>
      <w:bookmarkEnd w:id="13"/>
    </w:p>
    <w:bookmarkEnd w:id="14"/>
    <w:p w14:paraId="37751F23" w14:textId="233858EF" w:rsidR="002C43D6" w:rsidRDefault="002C43D6" w:rsidP="002C43D6"/>
    <w:p w14:paraId="7CEAEDBC" w14:textId="55DB4CEB" w:rsidR="002C43D6" w:rsidRDefault="002C43D6" w:rsidP="00BA65F2">
      <w:pPr>
        <w:pStyle w:val="Heading2"/>
        <w:spacing w:before="0"/>
        <w:ind w:left="709" w:hanging="709"/>
      </w:pPr>
      <w:bookmarkStart w:id="15" w:name="_Toc25828952"/>
      <w:r w:rsidRPr="007A00FC">
        <w:t>Executives, Directors</w:t>
      </w:r>
      <w:r>
        <w:t xml:space="preserve">, Senior </w:t>
      </w:r>
      <w:r w:rsidRPr="007A00FC">
        <w:t>Managers</w:t>
      </w:r>
      <w:r>
        <w:t xml:space="preserve"> / Managers</w:t>
      </w:r>
      <w:bookmarkEnd w:id="15"/>
    </w:p>
    <w:p w14:paraId="5922C423" w14:textId="3C9033C8" w:rsidR="003A4566" w:rsidRDefault="003A4566" w:rsidP="003A4566"/>
    <w:p w14:paraId="031F50A8" w14:textId="17B0473C" w:rsidR="00826AB0" w:rsidRPr="003A4566" w:rsidRDefault="00826AB0" w:rsidP="003A4566">
      <w:r>
        <w:t>It is the responsibility of Executives, Directors, Senior Managers and Managers to:</w:t>
      </w:r>
    </w:p>
    <w:p w14:paraId="5BAF420D" w14:textId="1AAC4372" w:rsidR="002C43D6" w:rsidRDefault="009F7A2A" w:rsidP="00BA65F2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2C43D6" w:rsidRPr="007A00FC">
        <w:rPr>
          <w:rFonts w:cs="Arial"/>
          <w:szCs w:val="22"/>
        </w:rPr>
        <w:t xml:space="preserve">nsure compliance with the requirements of this </w:t>
      </w:r>
      <w:r>
        <w:rPr>
          <w:rFonts w:cs="Arial"/>
          <w:szCs w:val="22"/>
        </w:rPr>
        <w:t>p</w:t>
      </w:r>
      <w:r w:rsidR="00527EEA">
        <w:rPr>
          <w:rFonts w:cs="Arial"/>
          <w:szCs w:val="22"/>
        </w:rPr>
        <w:t>olicy</w:t>
      </w:r>
    </w:p>
    <w:p w14:paraId="555D8895" w14:textId="1EF5ECC0" w:rsidR="005D5FE7" w:rsidRPr="007A00FC" w:rsidRDefault="009F7A2A" w:rsidP="00BA65F2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are r</w:t>
      </w:r>
      <w:r w:rsidR="005D5FE7">
        <w:rPr>
          <w:rFonts w:cs="Arial"/>
          <w:szCs w:val="22"/>
        </w:rPr>
        <w:t xml:space="preserve">esponsible </w:t>
      </w:r>
      <w:r>
        <w:rPr>
          <w:rFonts w:cs="Arial"/>
          <w:szCs w:val="22"/>
        </w:rPr>
        <w:t>in providing</w:t>
      </w:r>
      <w:r w:rsidR="005D5FE7">
        <w:rPr>
          <w:rFonts w:cs="Arial"/>
          <w:szCs w:val="22"/>
        </w:rPr>
        <w:t xml:space="preserve"> four (4) </w:t>
      </w:r>
      <w:proofErr w:type="spellStart"/>
      <w:r w:rsidR="005D5FE7">
        <w:rPr>
          <w:rFonts w:cs="Arial"/>
          <w:szCs w:val="22"/>
        </w:rPr>
        <w:t>weeks notice</w:t>
      </w:r>
      <w:proofErr w:type="spellEnd"/>
      <w:r w:rsidR="005D5FE7">
        <w:rPr>
          <w:rFonts w:cs="Arial"/>
          <w:szCs w:val="22"/>
        </w:rPr>
        <w:t xml:space="preserve"> to the employee for any temporary amendment</w:t>
      </w:r>
      <w:r>
        <w:rPr>
          <w:rFonts w:cs="Arial"/>
          <w:szCs w:val="22"/>
        </w:rPr>
        <w:t xml:space="preserve"> </w:t>
      </w:r>
      <w:r w:rsidR="005D5FE7">
        <w:rPr>
          <w:rFonts w:cs="Arial"/>
          <w:szCs w:val="22"/>
        </w:rPr>
        <w:t>to their working hours</w:t>
      </w:r>
      <w:r w:rsidR="00326C99">
        <w:rPr>
          <w:rFonts w:cs="Arial"/>
          <w:szCs w:val="22"/>
        </w:rPr>
        <w:t xml:space="preserve"> due to business needs</w:t>
      </w:r>
    </w:p>
    <w:p w14:paraId="6D85D731" w14:textId="1620A4B5" w:rsidR="002C43D6" w:rsidRPr="007A00FC" w:rsidRDefault="009F7A2A" w:rsidP="00BA65F2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2C43D6" w:rsidRPr="007A00FC">
        <w:rPr>
          <w:rFonts w:cs="Arial"/>
          <w:szCs w:val="22"/>
        </w:rPr>
        <w:t xml:space="preserve">nsure that </w:t>
      </w:r>
      <w:r w:rsidR="00CA5647">
        <w:rPr>
          <w:rFonts w:cs="Arial"/>
          <w:szCs w:val="22"/>
        </w:rPr>
        <w:t>HRB9 Variation in Hours forms a</w:t>
      </w:r>
      <w:r w:rsidR="002C43D6" w:rsidRPr="007A00FC">
        <w:rPr>
          <w:rFonts w:cs="Arial"/>
          <w:szCs w:val="22"/>
        </w:rPr>
        <w:t xml:space="preserve">re in place and managed where required by this </w:t>
      </w:r>
      <w:r>
        <w:rPr>
          <w:rFonts w:cs="Arial"/>
          <w:szCs w:val="22"/>
        </w:rPr>
        <w:t>p</w:t>
      </w:r>
      <w:r w:rsidR="00527EEA">
        <w:rPr>
          <w:rFonts w:cs="Arial"/>
          <w:szCs w:val="22"/>
        </w:rPr>
        <w:t xml:space="preserve">olicy </w:t>
      </w:r>
    </w:p>
    <w:p w14:paraId="7A769EBB" w14:textId="37C4C666" w:rsidR="00635DAE" w:rsidRDefault="009F7A2A" w:rsidP="00BA65F2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CA5647">
        <w:rPr>
          <w:rFonts w:cs="Arial"/>
          <w:szCs w:val="22"/>
        </w:rPr>
        <w:t>nsure that HRB9 Variation in Hours forms are processed within the Shared Service pay cut</w:t>
      </w:r>
      <w:r w:rsidR="00CA5647">
        <w:rPr>
          <w:rFonts w:cs="Arial"/>
          <w:szCs w:val="22"/>
        </w:rPr>
        <w:tab/>
        <w:t>off deadlines to mitigate any over or under payments.</w:t>
      </w:r>
    </w:p>
    <w:p w14:paraId="17685259" w14:textId="77777777" w:rsidR="00635DAE" w:rsidRDefault="00635DAE" w:rsidP="00DC6110">
      <w:pPr>
        <w:ind w:left="1134"/>
        <w:jc w:val="both"/>
        <w:rPr>
          <w:rFonts w:cs="Arial"/>
          <w:szCs w:val="22"/>
        </w:rPr>
      </w:pPr>
    </w:p>
    <w:p w14:paraId="47556C1B" w14:textId="25CB5AB8" w:rsidR="002C43D6" w:rsidRDefault="002C43D6" w:rsidP="00BA65F2">
      <w:pPr>
        <w:pStyle w:val="Heading2"/>
        <w:spacing w:before="0"/>
        <w:ind w:left="0" w:firstLine="0"/>
      </w:pPr>
      <w:bookmarkStart w:id="16" w:name="_Toc25828953"/>
      <w:r w:rsidRPr="00635DAE">
        <w:t>Employees</w:t>
      </w:r>
      <w:bookmarkEnd w:id="16"/>
    </w:p>
    <w:p w14:paraId="0563FCD2" w14:textId="77777777" w:rsidR="003A4566" w:rsidRPr="003A4566" w:rsidRDefault="003A4566"/>
    <w:p w14:paraId="59943CEF" w14:textId="299AA46F" w:rsidR="009421C6" w:rsidRDefault="00352675" w:rsidP="00BA65F2">
      <w:pPr>
        <w:rPr>
          <w:rFonts w:cs="Arial"/>
          <w:szCs w:val="22"/>
        </w:rPr>
      </w:pPr>
      <w:r w:rsidRPr="00352675">
        <w:rPr>
          <w:rFonts w:cs="Arial"/>
          <w:szCs w:val="22"/>
        </w:rPr>
        <w:t>TAFE SA employees are to provide fo</w:t>
      </w:r>
      <w:r w:rsidRPr="00436B80">
        <w:rPr>
          <w:rFonts w:cs="Arial"/>
          <w:szCs w:val="22"/>
        </w:rPr>
        <w:t xml:space="preserve">ur (4) </w:t>
      </w:r>
      <w:proofErr w:type="spellStart"/>
      <w:r w:rsidRPr="00436B80">
        <w:rPr>
          <w:rFonts w:cs="Arial"/>
          <w:szCs w:val="22"/>
        </w:rPr>
        <w:t>weeks notice</w:t>
      </w:r>
      <w:proofErr w:type="spellEnd"/>
      <w:r w:rsidRPr="00436B80">
        <w:rPr>
          <w:rFonts w:cs="Arial"/>
          <w:szCs w:val="22"/>
        </w:rPr>
        <w:t xml:space="preserve"> for any temporary amendment to work hours. Compassionate ca</w:t>
      </w:r>
      <w:r w:rsidR="005F5937">
        <w:rPr>
          <w:rFonts w:cs="Arial"/>
          <w:szCs w:val="22"/>
        </w:rPr>
        <w:t>s</w:t>
      </w:r>
      <w:r w:rsidRPr="00436B80">
        <w:rPr>
          <w:rFonts w:cs="Arial"/>
          <w:szCs w:val="22"/>
        </w:rPr>
        <w:t xml:space="preserve">es requiring less than 4 </w:t>
      </w:r>
      <w:proofErr w:type="spellStart"/>
      <w:r w:rsidRPr="00436B80">
        <w:rPr>
          <w:rFonts w:cs="Arial"/>
          <w:szCs w:val="22"/>
        </w:rPr>
        <w:t>weeks notice</w:t>
      </w:r>
      <w:proofErr w:type="spellEnd"/>
      <w:r w:rsidRPr="00436B80">
        <w:rPr>
          <w:rFonts w:cs="Arial"/>
          <w:szCs w:val="22"/>
        </w:rPr>
        <w:t xml:space="preserve"> will be managed by the </w:t>
      </w:r>
      <w:r w:rsidR="00967552">
        <w:rPr>
          <w:rFonts w:cs="Arial"/>
          <w:szCs w:val="22"/>
        </w:rPr>
        <w:t>L</w:t>
      </w:r>
      <w:r w:rsidRPr="00436B80">
        <w:rPr>
          <w:rFonts w:cs="Arial"/>
          <w:szCs w:val="22"/>
        </w:rPr>
        <w:t xml:space="preserve">ine </w:t>
      </w:r>
      <w:r w:rsidR="00967552">
        <w:rPr>
          <w:rFonts w:cs="Arial"/>
          <w:szCs w:val="22"/>
        </w:rPr>
        <w:t>M</w:t>
      </w:r>
      <w:r w:rsidRPr="00436B80">
        <w:rPr>
          <w:rFonts w:cs="Arial"/>
          <w:szCs w:val="22"/>
        </w:rPr>
        <w:t>anager on a case by case basis.</w:t>
      </w:r>
      <w:r w:rsidDel="00352675">
        <w:rPr>
          <w:rFonts w:cs="Arial"/>
          <w:szCs w:val="22"/>
        </w:rPr>
        <w:t xml:space="preserve"> </w:t>
      </w:r>
    </w:p>
    <w:p w14:paraId="3D69E0CC" w14:textId="7910DDF9" w:rsidR="000E2396" w:rsidRDefault="000E2396" w:rsidP="00BA65F2">
      <w:pPr>
        <w:pStyle w:val="Heading1"/>
        <w:spacing w:before="400"/>
        <w:ind w:left="431" w:hanging="431"/>
      </w:pPr>
      <w:bookmarkStart w:id="17" w:name="_Toc25828954"/>
      <w:r>
        <w:t>Review of TAFE SA Policy</w:t>
      </w:r>
      <w:bookmarkEnd w:id="17"/>
    </w:p>
    <w:p w14:paraId="31351EDB" w14:textId="483BBBEA" w:rsidR="000E2396" w:rsidRDefault="000E2396" w:rsidP="000E2396">
      <w:pPr>
        <w:ind w:left="1418" w:hanging="1418"/>
      </w:pPr>
    </w:p>
    <w:p w14:paraId="65E5AFC6" w14:textId="768A54EC" w:rsidR="00AA1BBA" w:rsidRDefault="00A76944">
      <w:pPr>
        <w:rPr>
          <w:b/>
          <w:bCs/>
          <w:kern w:val="28"/>
          <w:szCs w:val="28"/>
        </w:rPr>
      </w:pPr>
      <w:r>
        <w:t>TAFE SA policies must undertake a full review process, including staff consultation and TAFE SA Executive/Board approval</w:t>
      </w:r>
      <w:r w:rsidR="001E2C68">
        <w:t xml:space="preserve">, at least every </w:t>
      </w:r>
      <w:r w:rsidR="009C0AB4">
        <w:t>two</w:t>
      </w:r>
      <w:r w:rsidR="001E2C68">
        <w:t xml:space="preserve"> years, but may be actioned earlier according to strategic priorities, reforms or feedback received.</w:t>
      </w:r>
      <w:r w:rsidR="00AB4BA0">
        <w:t xml:space="preserve"> </w:t>
      </w:r>
      <w:bookmarkStart w:id="18" w:name="_POLICY_CONSULTATION_PLAN_1"/>
      <w:bookmarkStart w:id="19" w:name="_CONSULTATION_PLAN"/>
      <w:bookmarkStart w:id="20" w:name="_POLICY_CONSULTATION_PLAN"/>
      <w:bookmarkEnd w:id="18"/>
      <w:bookmarkEnd w:id="19"/>
      <w:bookmarkEnd w:id="20"/>
    </w:p>
    <w:sectPr w:rsidR="00AA1BBA" w:rsidSect="00217B3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670" w:right="851" w:bottom="1440" w:left="709" w:header="709" w:footer="1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0740" w14:textId="77777777" w:rsidR="009E438C" w:rsidRDefault="009E438C" w:rsidP="007F3A2B">
      <w:r>
        <w:separator/>
      </w:r>
    </w:p>
  </w:endnote>
  <w:endnote w:type="continuationSeparator" w:id="0">
    <w:p w14:paraId="207B74DF" w14:textId="77777777" w:rsidR="009E438C" w:rsidRDefault="009E438C" w:rsidP="007F3A2B">
      <w:r>
        <w:continuationSeparator/>
      </w:r>
    </w:p>
  </w:endnote>
  <w:endnote w:type="continuationNotice" w:id="1">
    <w:p w14:paraId="075EEAA2" w14:textId="77777777" w:rsidR="009E438C" w:rsidRDefault="009E4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65C8" w14:textId="1348671D" w:rsidR="007651E2" w:rsidRDefault="007651E2" w:rsidP="007651E2">
    <w:pPr>
      <w:pStyle w:val="Footer"/>
      <w:pBdr>
        <w:top w:val="single" w:sz="4" w:space="1" w:color="D9D9D9"/>
      </w:pBdr>
      <w:jc w:val="right"/>
    </w:pPr>
    <w:r w:rsidRPr="007651E2">
      <w:rPr>
        <w:sz w:val="16"/>
        <w:szCs w:val="16"/>
      </w:rPr>
      <w:fldChar w:fldCharType="begin"/>
    </w:r>
    <w:r w:rsidRPr="007651E2">
      <w:rPr>
        <w:sz w:val="16"/>
        <w:szCs w:val="16"/>
      </w:rPr>
      <w:instrText xml:space="preserve"> PAGE   \* MERGEFORMAT </w:instrText>
    </w:r>
    <w:r w:rsidRPr="007651E2">
      <w:rPr>
        <w:sz w:val="16"/>
        <w:szCs w:val="16"/>
      </w:rPr>
      <w:fldChar w:fldCharType="separate"/>
    </w:r>
    <w:r w:rsidR="00AA0EFE">
      <w:rPr>
        <w:noProof/>
        <w:sz w:val="16"/>
        <w:szCs w:val="16"/>
      </w:rPr>
      <w:t>4</w:t>
    </w:r>
    <w:r w:rsidRPr="007651E2">
      <w:rPr>
        <w:rFonts w:cs="Arial"/>
        <w:noProof/>
        <w:sz w:val="16"/>
        <w:szCs w:val="16"/>
      </w:rPr>
      <w:fldChar w:fldCharType="end"/>
    </w:r>
    <w:r w:rsidRPr="007F3A2B">
      <w:rPr>
        <w:rFonts w:cs="Arial"/>
        <w:sz w:val="16"/>
        <w:szCs w:val="16"/>
      </w:rPr>
      <w:t xml:space="preserve"> | </w:t>
    </w:r>
    <w:r w:rsidRPr="00946408">
      <w:rPr>
        <w:rFonts w:cs="Arial"/>
        <w:color w:val="808080"/>
        <w:spacing w:val="60"/>
        <w:sz w:val="16"/>
        <w:szCs w:val="16"/>
      </w:rPr>
      <w:t>Page</w:t>
    </w:r>
  </w:p>
  <w:p w14:paraId="26FF9D43" w14:textId="6A0AB639" w:rsidR="00723FD2" w:rsidRDefault="00723FD2" w:rsidP="00723FD2">
    <w:pPr>
      <w:pStyle w:val="Footer"/>
      <w:jc w:val="both"/>
    </w:pPr>
    <w:r>
      <w:t>Version 1.</w:t>
    </w:r>
    <w:r w:rsidR="009C0AB4">
      <w:t>1</w:t>
    </w:r>
  </w:p>
  <w:p w14:paraId="729B08CC" w14:textId="77777777" w:rsidR="007651E2" w:rsidRDefault="00765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088E6" w14:textId="5AF11C65" w:rsidR="00207CBF" w:rsidRPr="005022AD" w:rsidRDefault="00207CBF" w:rsidP="00207CBF">
    <w:pPr>
      <w:pStyle w:val="Footer"/>
      <w:spacing w:before="120"/>
      <w:rPr>
        <w:rFonts w:cs="Arial"/>
        <w:sz w:val="20"/>
        <w:szCs w:val="20"/>
      </w:rPr>
    </w:pPr>
    <w:r>
      <w:rPr>
        <w:rFonts w:cs="Arial"/>
        <w:sz w:val="20"/>
        <w:szCs w:val="20"/>
      </w:rPr>
      <w:t>TAFE SA</w:t>
    </w:r>
    <w:r w:rsidRPr="005022AD">
      <w:rPr>
        <w:rFonts w:cs="Arial"/>
        <w:sz w:val="20"/>
        <w:szCs w:val="20"/>
      </w:rPr>
      <w:t xml:space="preserve"> </w:t>
    </w:r>
    <w:r w:rsidR="00D71D60">
      <w:rPr>
        <w:rFonts w:cs="Arial"/>
        <w:sz w:val="20"/>
        <w:szCs w:val="20"/>
      </w:rPr>
      <w:t>Policies</w:t>
    </w:r>
    <w:r w:rsidR="00D71D60" w:rsidRPr="005022AD">
      <w:rPr>
        <w:rFonts w:cs="Arial"/>
        <w:sz w:val="20"/>
        <w:szCs w:val="20"/>
      </w:rPr>
      <w:t xml:space="preserve"> </w:t>
    </w:r>
    <w:r w:rsidRPr="005022AD">
      <w:rPr>
        <w:rFonts w:cs="Arial"/>
        <w:sz w:val="20"/>
        <w:szCs w:val="20"/>
      </w:rPr>
      <w:t xml:space="preserve">are issued under the </w:t>
    </w:r>
    <w:r>
      <w:rPr>
        <w:rFonts w:cs="Arial"/>
        <w:sz w:val="20"/>
        <w:szCs w:val="20"/>
      </w:rPr>
      <w:t xml:space="preserve">TAFE SA </w:t>
    </w:r>
    <w:r w:rsidRPr="005022AD">
      <w:rPr>
        <w:rFonts w:cs="Arial"/>
        <w:sz w:val="20"/>
        <w:szCs w:val="20"/>
      </w:rPr>
      <w:t xml:space="preserve">Policy Management Framework. They are binding on all </w:t>
    </w:r>
    <w:r>
      <w:rPr>
        <w:rFonts w:cs="Arial"/>
        <w:sz w:val="20"/>
        <w:szCs w:val="20"/>
      </w:rPr>
      <w:br/>
      <w:t>TAFE SA employees.</w:t>
    </w:r>
  </w:p>
  <w:p w14:paraId="58D0B8CB" w14:textId="411E8FA8" w:rsidR="00207CBF" w:rsidRDefault="00207CBF" w:rsidP="00207CBF">
    <w:pPr>
      <w:pStyle w:val="Footer"/>
      <w:jc w:val="right"/>
      <w:rPr>
        <w:b/>
      </w:rPr>
    </w:pPr>
  </w:p>
  <w:p w14:paraId="5A4E2A66" w14:textId="77777777" w:rsidR="00207CBF" w:rsidRPr="00AE1435" w:rsidRDefault="00207CBF" w:rsidP="00207CBF">
    <w:pPr>
      <w:pStyle w:val="Footer"/>
      <w:jc w:val="right"/>
      <w:rPr>
        <w:b/>
        <w:sz w:val="12"/>
        <w:szCs w:val="12"/>
      </w:rPr>
    </w:pPr>
  </w:p>
  <w:p w14:paraId="03BD5F0E" w14:textId="735B1038" w:rsidR="00207CBF" w:rsidRDefault="00207CBF" w:rsidP="00207CBF">
    <w:pPr>
      <w:pStyle w:val="Footer"/>
      <w:jc w:val="both"/>
    </w:pPr>
    <w:r>
      <w:t xml:space="preserve">Version </w:t>
    </w:r>
    <w:r w:rsidR="00E13C6D">
      <w:t>1</w:t>
    </w:r>
    <w:r>
      <w:t>.</w:t>
    </w:r>
    <w:r w:rsidR="009C0AB4">
      <w:t>1</w:t>
    </w:r>
  </w:p>
  <w:p w14:paraId="12F440F4" w14:textId="77777777" w:rsidR="00207CBF" w:rsidRDefault="00207CBF" w:rsidP="00207CBF">
    <w:pPr>
      <w:pStyle w:val="Footer"/>
    </w:pPr>
  </w:p>
  <w:p w14:paraId="12BA6179" w14:textId="133A216C" w:rsidR="00021A6B" w:rsidRPr="00217B3A" w:rsidRDefault="00021A6B" w:rsidP="00217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1216" w14:textId="77777777" w:rsidR="009E438C" w:rsidRDefault="009E438C" w:rsidP="007F3A2B">
      <w:r>
        <w:separator/>
      </w:r>
    </w:p>
  </w:footnote>
  <w:footnote w:type="continuationSeparator" w:id="0">
    <w:p w14:paraId="1CF3FF21" w14:textId="77777777" w:rsidR="009E438C" w:rsidRDefault="009E438C" w:rsidP="007F3A2B">
      <w:r>
        <w:continuationSeparator/>
      </w:r>
    </w:p>
  </w:footnote>
  <w:footnote w:type="continuationNotice" w:id="1">
    <w:p w14:paraId="2F6008F4" w14:textId="77777777" w:rsidR="009E438C" w:rsidRDefault="009E4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7060" w14:textId="35DA7FBF" w:rsidR="00AF1E60" w:rsidRPr="001940DD" w:rsidRDefault="00384803" w:rsidP="00AF1E60">
    <w:pPr>
      <w:tabs>
        <w:tab w:val="right" w:pos="10206"/>
      </w:tabs>
      <w:jc w:val="right"/>
      <w:rPr>
        <w:rFonts w:cs="Arial"/>
      </w:rPr>
    </w:pPr>
    <w:sdt>
      <w:sdtPr>
        <w:rPr>
          <w:rFonts w:cs="Arial"/>
          <w:sz w:val="18"/>
          <w:szCs w:val="18"/>
        </w:rPr>
        <w:id w:val="885520066"/>
        <w:docPartObj>
          <w:docPartGallery w:val="Watermarks"/>
          <w:docPartUnique/>
        </w:docPartObj>
      </w:sdtPr>
      <w:sdtEndPr/>
      <w:sdtContent>
        <w:r>
          <w:rPr>
            <w:rFonts w:cs="Arial"/>
            <w:noProof/>
            <w:sz w:val="18"/>
            <w:szCs w:val="18"/>
          </w:rPr>
          <w:pict w14:anchorId="2A41F7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F1E60">
      <w:rPr>
        <w:rFonts w:cs="Arial"/>
        <w:sz w:val="18"/>
        <w:szCs w:val="18"/>
      </w:rPr>
      <w:t>Variation in Hours Policy</w:t>
    </w:r>
  </w:p>
  <w:p w14:paraId="3E52FC86" w14:textId="77777777" w:rsidR="00AF1E60" w:rsidRPr="001940DD" w:rsidRDefault="00AF1E60" w:rsidP="00AF1E60">
    <w:pPr>
      <w:pBdr>
        <w:bottom w:val="single" w:sz="4" w:space="1" w:color="auto"/>
      </w:pBdr>
      <w:tabs>
        <w:tab w:val="center" w:pos="4513"/>
        <w:tab w:val="right" w:pos="9026"/>
      </w:tabs>
      <w:rPr>
        <w:sz w:val="16"/>
        <w:szCs w:val="16"/>
      </w:rPr>
    </w:pPr>
  </w:p>
  <w:p w14:paraId="10AE7F05" w14:textId="77777777" w:rsidR="00AF1E60" w:rsidRDefault="00AF1E60" w:rsidP="00AF1E60">
    <w:pPr>
      <w:pStyle w:val="Header"/>
    </w:pPr>
  </w:p>
  <w:p w14:paraId="300CC55D" w14:textId="77777777" w:rsidR="007651E2" w:rsidRDefault="0076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491A" w14:textId="40513A1E" w:rsidR="00021A6B" w:rsidRDefault="00021A6B" w:rsidP="001E31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964"/>
    <w:multiLevelType w:val="hybridMultilevel"/>
    <w:tmpl w:val="C57C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307"/>
    <w:multiLevelType w:val="hybridMultilevel"/>
    <w:tmpl w:val="BA60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18C"/>
    <w:multiLevelType w:val="hybridMultilevel"/>
    <w:tmpl w:val="A6BC0C68"/>
    <w:lvl w:ilvl="0" w:tplc="192ABE4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90C5C"/>
    <w:multiLevelType w:val="hybridMultilevel"/>
    <w:tmpl w:val="A68E0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26F5"/>
    <w:multiLevelType w:val="hybridMultilevel"/>
    <w:tmpl w:val="7C543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4B07"/>
    <w:multiLevelType w:val="hybridMultilevel"/>
    <w:tmpl w:val="2EE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3B0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5192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283A2E"/>
    <w:multiLevelType w:val="hybridMultilevel"/>
    <w:tmpl w:val="FB34B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03F46"/>
    <w:multiLevelType w:val="hybridMultilevel"/>
    <w:tmpl w:val="537E9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1FAB"/>
    <w:multiLevelType w:val="hybridMultilevel"/>
    <w:tmpl w:val="17AC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978"/>
    <w:multiLevelType w:val="hybridMultilevel"/>
    <w:tmpl w:val="80CCB818"/>
    <w:lvl w:ilvl="0" w:tplc="192ABE4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9514863E">
      <w:start w:val="1"/>
      <w:numFmt w:val="bullet"/>
      <w:lvlText w:val="o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6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E14F6"/>
    <w:multiLevelType w:val="hybridMultilevel"/>
    <w:tmpl w:val="ACF4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E06A6"/>
    <w:multiLevelType w:val="hybridMultilevel"/>
    <w:tmpl w:val="7B48007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96F3442"/>
    <w:multiLevelType w:val="hybridMultilevel"/>
    <w:tmpl w:val="F650E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1605"/>
    <w:multiLevelType w:val="multilevel"/>
    <w:tmpl w:val="0C09001D"/>
    <w:styleLink w:val="Style1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805EC3"/>
    <w:multiLevelType w:val="hybridMultilevel"/>
    <w:tmpl w:val="2CF05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F3C75"/>
    <w:multiLevelType w:val="hybridMultilevel"/>
    <w:tmpl w:val="E14EFEF2"/>
    <w:lvl w:ilvl="0" w:tplc="2C96D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E7B9C"/>
    <w:multiLevelType w:val="hybridMultilevel"/>
    <w:tmpl w:val="B9709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D2904"/>
    <w:multiLevelType w:val="hybridMultilevel"/>
    <w:tmpl w:val="53C6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7802"/>
    <w:multiLevelType w:val="hybridMultilevel"/>
    <w:tmpl w:val="91444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7C85"/>
    <w:multiLevelType w:val="hybridMultilevel"/>
    <w:tmpl w:val="1DBE4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6AFA"/>
    <w:multiLevelType w:val="hybridMultilevel"/>
    <w:tmpl w:val="98380B6E"/>
    <w:lvl w:ilvl="0" w:tplc="C81694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A1758"/>
    <w:multiLevelType w:val="multilevel"/>
    <w:tmpl w:val="0C09001D"/>
    <w:numStyleLink w:val="Style1"/>
  </w:abstractNum>
  <w:abstractNum w:abstractNumId="23" w15:restartNumberingAfterBreak="0">
    <w:nsid w:val="4E8925FB"/>
    <w:multiLevelType w:val="hybridMultilevel"/>
    <w:tmpl w:val="8D1E5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5577F"/>
    <w:multiLevelType w:val="hybridMultilevel"/>
    <w:tmpl w:val="F996A5DC"/>
    <w:lvl w:ilvl="0" w:tplc="22DCCD62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222CE"/>
    <w:multiLevelType w:val="multilevel"/>
    <w:tmpl w:val="D0F83F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5AD8543E"/>
    <w:multiLevelType w:val="hybridMultilevel"/>
    <w:tmpl w:val="4F107AF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04B58F0"/>
    <w:multiLevelType w:val="multilevel"/>
    <w:tmpl w:val="2F10FC3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3046B05"/>
    <w:multiLevelType w:val="hybridMultilevel"/>
    <w:tmpl w:val="8EC6B0E0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D6F61"/>
    <w:multiLevelType w:val="hybridMultilevel"/>
    <w:tmpl w:val="3F96D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8B3524"/>
    <w:multiLevelType w:val="hybridMultilevel"/>
    <w:tmpl w:val="D994A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660F"/>
    <w:multiLevelType w:val="hybridMultilevel"/>
    <w:tmpl w:val="5546E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27337"/>
    <w:multiLevelType w:val="hybridMultilevel"/>
    <w:tmpl w:val="C3DA12BC"/>
    <w:lvl w:ilvl="0" w:tplc="3D5EA2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2D5782"/>
    <w:multiLevelType w:val="hybridMultilevel"/>
    <w:tmpl w:val="90B62AAE"/>
    <w:lvl w:ilvl="0" w:tplc="BCDA9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126E6"/>
    <w:multiLevelType w:val="hybridMultilevel"/>
    <w:tmpl w:val="DFAEA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97C"/>
    <w:multiLevelType w:val="hybridMultilevel"/>
    <w:tmpl w:val="2D4E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B71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34"/>
  </w:num>
  <w:num w:numId="5">
    <w:abstractNumId w:val="9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6"/>
  </w:num>
  <w:num w:numId="11">
    <w:abstractNumId w:val="32"/>
  </w:num>
  <w:num w:numId="12">
    <w:abstractNumId w:val="17"/>
  </w:num>
  <w:num w:numId="13">
    <w:abstractNumId w:val="31"/>
  </w:num>
  <w:num w:numId="14">
    <w:abstractNumId w:val="13"/>
  </w:num>
  <w:num w:numId="15">
    <w:abstractNumId w:val="5"/>
  </w:num>
  <w:num w:numId="16">
    <w:abstractNumId w:val="35"/>
  </w:num>
  <w:num w:numId="17">
    <w:abstractNumId w:val="23"/>
  </w:num>
  <w:num w:numId="18">
    <w:abstractNumId w:val="15"/>
  </w:num>
  <w:num w:numId="19">
    <w:abstractNumId w:val="19"/>
  </w:num>
  <w:num w:numId="20">
    <w:abstractNumId w:val="1"/>
  </w:num>
  <w:num w:numId="21">
    <w:abstractNumId w:val="7"/>
  </w:num>
  <w:num w:numId="22">
    <w:abstractNumId w:val="33"/>
  </w:num>
  <w:num w:numId="23">
    <w:abstractNumId w:val="28"/>
  </w:num>
  <w:num w:numId="24">
    <w:abstractNumId w:val="21"/>
  </w:num>
  <w:num w:numId="25">
    <w:abstractNumId w:val="18"/>
  </w:num>
  <w:num w:numId="26">
    <w:abstractNumId w:val="0"/>
  </w:num>
  <w:num w:numId="27">
    <w:abstractNumId w:val="4"/>
  </w:num>
  <w:num w:numId="28">
    <w:abstractNumId w:val="30"/>
  </w:num>
  <w:num w:numId="29">
    <w:abstractNumId w:val="27"/>
  </w:num>
  <w:num w:numId="30">
    <w:abstractNumId w:val="25"/>
  </w:num>
  <w:num w:numId="31">
    <w:abstractNumId w:val="12"/>
  </w:num>
  <w:num w:numId="32">
    <w:abstractNumId w:val="10"/>
  </w:num>
  <w:num w:numId="33">
    <w:abstractNumId w:val="2"/>
  </w:num>
  <w:num w:numId="34">
    <w:abstractNumId w:val="36"/>
  </w:num>
  <w:num w:numId="35">
    <w:abstractNumId w:val="6"/>
  </w:num>
  <w:num w:numId="36">
    <w:abstractNumId w:val="14"/>
  </w:num>
  <w:num w:numId="37">
    <w:abstractNumId w:val="22"/>
  </w:num>
  <w:num w:numId="38">
    <w:abstractNumId w:val="29"/>
  </w:num>
  <w:num w:numId="3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61"/>
    <w:rsid w:val="0000377A"/>
    <w:rsid w:val="00003BF4"/>
    <w:rsid w:val="00004669"/>
    <w:rsid w:val="00010B0F"/>
    <w:rsid w:val="0001428A"/>
    <w:rsid w:val="00015078"/>
    <w:rsid w:val="00020B25"/>
    <w:rsid w:val="00021A6B"/>
    <w:rsid w:val="0002557D"/>
    <w:rsid w:val="00027F50"/>
    <w:rsid w:val="000307CD"/>
    <w:rsid w:val="00032779"/>
    <w:rsid w:val="000427DA"/>
    <w:rsid w:val="000435CD"/>
    <w:rsid w:val="00047528"/>
    <w:rsid w:val="000478A8"/>
    <w:rsid w:val="0005239C"/>
    <w:rsid w:val="00052A29"/>
    <w:rsid w:val="00052C95"/>
    <w:rsid w:val="0006116E"/>
    <w:rsid w:val="0006428B"/>
    <w:rsid w:val="00071114"/>
    <w:rsid w:val="0007259C"/>
    <w:rsid w:val="00072B7B"/>
    <w:rsid w:val="000735BF"/>
    <w:rsid w:val="00073E96"/>
    <w:rsid w:val="0007706D"/>
    <w:rsid w:val="00080D9D"/>
    <w:rsid w:val="00084C20"/>
    <w:rsid w:val="00087299"/>
    <w:rsid w:val="00091C59"/>
    <w:rsid w:val="00094EE5"/>
    <w:rsid w:val="00095814"/>
    <w:rsid w:val="000965C4"/>
    <w:rsid w:val="0009674A"/>
    <w:rsid w:val="00097506"/>
    <w:rsid w:val="000A231D"/>
    <w:rsid w:val="000A26AA"/>
    <w:rsid w:val="000A2DD1"/>
    <w:rsid w:val="000A4F16"/>
    <w:rsid w:val="000A6516"/>
    <w:rsid w:val="000A674F"/>
    <w:rsid w:val="000B0AD4"/>
    <w:rsid w:val="000B7116"/>
    <w:rsid w:val="000B720A"/>
    <w:rsid w:val="000C00C4"/>
    <w:rsid w:val="000C2068"/>
    <w:rsid w:val="000D13B0"/>
    <w:rsid w:val="000D1DFA"/>
    <w:rsid w:val="000D3DE9"/>
    <w:rsid w:val="000D43D2"/>
    <w:rsid w:val="000E141E"/>
    <w:rsid w:val="000E2396"/>
    <w:rsid w:val="000E326E"/>
    <w:rsid w:val="000E3591"/>
    <w:rsid w:val="000E3A21"/>
    <w:rsid w:val="000F07F9"/>
    <w:rsid w:val="000F1045"/>
    <w:rsid w:val="000F5925"/>
    <w:rsid w:val="000F5F9A"/>
    <w:rsid w:val="00104BE7"/>
    <w:rsid w:val="00111A49"/>
    <w:rsid w:val="00112D56"/>
    <w:rsid w:val="001130B0"/>
    <w:rsid w:val="00121BCB"/>
    <w:rsid w:val="0012565F"/>
    <w:rsid w:val="00125831"/>
    <w:rsid w:val="00127B2F"/>
    <w:rsid w:val="00137DBC"/>
    <w:rsid w:val="00141085"/>
    <w:rsid w:val="0014210A"/>
    <w:rsid w:val="00143B14"/>
    <w:rsid w:val="00150946"/>
    <w:rsid w:val="00154B52"/>
    <w:rsid w:val="00155CD6"/>
    <w:rsid w:val="00161C69"/>
    <w:rsid w:val="00167EF2"/>
    <w:rsid w:val="001701C4"/>
    <w:rsid w:val="00171295"/>
    <w:rsid w:val="00180C91"/>
    <w:rsid w:val="00181986"/>
    <w:rsid w:val="00181DDC"/>
    <w:rsid w:val="00182645"/>
    <w:rsid w:val="00184D4C"/>
    <w:rsid w:val="001861B3"/>
    <w:rsid w:val="00187210"/>
    <w:rsid w:val="00195AFB"/>
    <w:rsid w:val="001A0C6F"/>
    <w:rsid w:val="001A3565"/>
    <w:rsid w:val="001B31A1"/>
    <w:rsid w:val="001C0F56"/>
    <w:rsid w:val="001C117F"/>
    <w:rsid w:val="001C2460"/>
    <w:rsid w:val="001C4DC1"/>
    <w:rsid w:val="001D3080"/>
    <w:rsid w:val="001D52B0"/>
    <w:rsid w:val="001D52E0"/>
    <w:rsid w:val="001E2C68"/>
    <w:rsid w:val="001E31D9"/>
    <w:rsid w:val="001E33E5"/>
    <w:rsid w:val="001E6646"/>
    <w:rsid w:val="001F14F1"/>
    <w:rsid w:val="001F16C5"/>
    <w:rsid w:val="001F219F"/>
    <w:rsid w:val="001F2B95"/>
    <w:rsid w:val="001F37A4"/>
    <w:rsid w:val="0020503E"/>
    <w:rsid w:val="00206490"/>
    <w:rsid w:val="00207CBF"/>
    <w:rsid w:val="00207D64"/>
    <w:rsid w:val="002121EF"/>
    <w:rsid w:val="00213336"/>
    <w:rsid w:val="0021620A"/>
    <w:rsid w:val="00217452"/>
    <w:rsid w:val="00217B3A"/>
    <w:rsid w:val="00220452"/>
    <w:rsid w:val="00222243"/>
    <w:rsid w:val="002223D0"/>
    <w:rsid w:val="00222F98"/>
    <w:rsid w:val="002232C5"/>
    <w:rsid w:val="00223507"/>
    <w:rsid w:val="00223D9B"/>
    <w:rsid w:val="00224194"/>
    <w:rsid w:val="0023047B"/>
    <w:rsid w:val="002355ED"/>
    <w:rsid w:val="00237354"/>
    <w:rsid w:val="002420B9"/>
    <w:rsid w:val="00246B03"/>
    <w:rsid w:val="00247826"/>
    <w:rsid w:val="002512C2"/>
    <w:rsid w:val="00251B3C"/>
    <w:rsid w:val="002540C5"/>
    <w:rsid w:val="00254F77"/>
    <w:rsid w:val="00255FB0"/>
    <w:rsid w:val="00257BF0"/>
    <w:rsid w:val="00262E03"/>
    <w:rsid w:val="0026476F"/>
    <w:rsid w:val="00272DFC"/>
    <w:rsid w:val="00275CE8"/>
    <w:rsid w:val="00275DEC"/>
    <w:rsid w:val="00277B48"/>
    <w:rsid w:val="00282BDF"/>
    <w:rsid w:val="00286245"/>
    <w:rsid w:val="00287EE2"/>
    <w:rsid w:val="00291229"/>
    <w:rsid w:val="0029356C"/>
    <w:rsid w:val="00293901"/>
    <w:rsid w:val="0029420D"/>
    <w:rsid w:val="00295C98"/>
    <w:rsid w:val="00295DB6"/>
    <w:rsid w:val="002A6C66"/>
    <w:rsid w:val="002B0C90"/>
    <w:rsid w:val="002B1FA7"/>
    <w:rsid w:val="002B28ED"/>
    <w:rsid w:val="002B29EC"/>
    <w:rsid w:val="002B4442"/>
    <w:rsid w:val="002C43D6"/>
    <w:rsid w:val="002C71AD"/>
    <w:rsid w:val="002D399F"/>
    <w:rsid w:val="002D6207"/>
    <w:rsid w:val="002E393D"/>
    <w:rsid w:val="002E625B"/>
    <w:rsid w:val="002F0757"/>
    <w:rsid w:val="002F2D28"/>
    <w:rsid w:val="002F4247"/>
    <w:rsid w:val="003009C3"/>
    <w:rsid w:val="00301C1C"/>
    <w:rsid w:val="00305ED3"/>
    <w:rsid w:val="0031093E"/>
    <w:rsid w:val="00312126"/>
    <w:rsid w:val="00316E17"/>
    <w:rsid w:val="003225EB"/>
    <w:rsid w:val="003238BE"/>
    <w:rsid w:val="00324DFA"/>
    <w:rsid w:val="003252D2"/>
    <w:rsid w:val="00326C99"/>
    <w:rsid w:val="003277D4"/>
    <w:rsid w:val="00332FD1"/>
    <w:rsid w:val="00336117"/>
    <w:rsid w:val="0033673C"/>
    <w:rsid w:val="0034229C"/>
    <w:rsid w:val="00352675"/>
    <w:rsid w:val="00352B03"/>
    <w:rsid w:val="003536E3"/>
    <w:rsid w:val="00354568"/>
    <w:rsid w:val="00354E19"/>
    <w:rsid w:val="00355593"/>
    <w:rsid w:val="003556A7"/>
    <w:rsid w:val="00356CE8"/>
    <w:rsid w:val="00360BA2"/>
    <w:rsid w:val="00361323"/>
    <w:rsid w:val="003678B4"/>
    <w:rsid w:val="00371136"/>
    <w:rsid w:val="0037226C"/>
    <w:rsid w:val="00372AEA"/>
    <w:rsid w:val="00373837"/>
    <w:rsid w:val="0037537D"/>
    <w:rsid w:val="00380E64"/>
    <w:rsid w:val="00384803"/>
    <w:rsid w:val="00387882"/>
    <w:rsid w:val="00392396"/>
    <w:rsid w:val="003959B4"/>
    <w:rsid w:val="00395D50"/>
    <w:rsid w:val="003A0164"/>
    <w:rsid w:val="003A4566"/>
    <w:rsid w:val="003A5237"/>
    <w:rsid w:val="003A7144"/>
    <w:rsid w:val="003A7AAC"/>
    <w:rsid w:val="003B3907"/>
    <w:rsid w:val="003B4494"/>
    <w:rsid w:val="003B5216"/>
    <w:rsid w:val="003B6440"/>
    <w:rsid w:val="003B65F5"/>
    <w:rsid w:val="003C1460"/>
    <w:rsid w:val="003C4D09"/>
    <w:rsid w:val="003C50E3"/>
    <w:rsid w:val="003C5402"/>
    <w:rsid w:val="003C764F"/>
    <w:rsid w:val="003E0417"/>
    <w:rsid w:val="003E2C09"/>
    <w:rsid w:val="003E352D"/>
    <w:rsid w:val="003E46F4"/>
    <w:rsid w:val="003E58AB"/>
    <w:rsid w:val="003E7408"/>
    <w:rsid w:val="003F2756"/>
    <w:rsid w:val="003F2D4A"/>
    <w:rsid w:val="003F3CAA"/>
    <w:rsid w:val="00400354"/>
    <w:rsid w:val="00400C91"/>
    <w:rsid w:val="00403056"/>
    <w:rsid w:val="00406DC7"/>
    <w:rsid w:val="00410752"/>
    <w:rsid w:val="00413387"/>
    <w:rsid w:val="00413A08"/>
    <w:rsid w:val="00413E7E"/>
    <w:rsid w:val="00417908"/>
    <w:rsid w:val="00420E97"/>
    <w:rsid w:val="0042149E"/>
    <w:rsid w:val="004233D4"/>
    <w:rsid w:val="00425602"/>
    <w:rsid w:val="00425838"/>
    <w:rsid w:val="00425B6A"/>
    <w:rsid w:val="00427C19"/>
    <w:rsid w:val="004301C6"/>
    <w:rsid w:val="0043164A"/>
    <w:rsid w:val="00436B80"/>
    <w:rsid w:val="00444DEA"/>
    <w:rsid w:val="0044655F"/>
    <w:rsid w:val="00455107"/>
    <w:rsid w:val="00455659"/>
    <w:rsid w:val="004628CC"/>
    <w:rsid w:val="00473434"/>
    <w:rsid w:val="0047555E"/>
    <w:rsid w:val="00475F76"/>
    <w:rsid w:val="00481760"/>
    <w:rsid w:val="0048279C"/>
    <w:rsid w:val="00485729"/>
    <w:rsid w:val="00486522"/>
    <w:rsid w:val="00487FCC"/>
    <w:rsid w:val="0049631E"/>
    <w:rsid w:val="004A2CAD"/>
    <w:rsid w:val="004A2DAC"/>
    <w:rsid w:val="004A6482"/>
    <w:rsid w:val="004C2833"/>
    <w:rsid w:val="004C5074"/>
    <w:rsid w:val="004D5CD9"/>
    <w:rsid w:val="004D6F68"/>
    <w:rsid w:val="004D7D9A"/>
    <w:rsid w:val="004E24A3"/>
    <w:rsid w:val="004E27B6"/>
    <w:rsid w:val="004E5B26"/>
    <w:rsid w:val="004E7CDA"/>
    <w:rsid w:val="004F14A4"/>
    <w:rsid w:val="004F2236"/>
    <w:rsid w:val="004F3AC0"/>
    <w:rsid w:val="004F5A52"/>
    <w:rsid w:val="004F78BF"/>
    <w:rsid w:val="0050044A"/>
    <w:rsid w:val="005022AD"/>
    <w:rsid w:val="005042D0"/>
    <w:rsid w:val="00504F3E"/>
    <w:rsid w:val="0051133B"/>
    <w:rsid w:val="005179DB"/>
    <w:rsid w:val="005227AC"/>
    <w:rsid w:val="00524F84"/>
    <w:rsid w:val="00525D9A"/>
    <w:rsid w:val="00527C98"/>
    <w:rsid w:val="00527D8D"/>
    <w:rsid w:val="00527EEA"/>
    <w:rsid w:val="00530C04"/>
    <w:rsid w:val="00531FA0"/>
    <w:rsid w:val="0053408D"/>
    <w:rsid w:val="00534D98"/>
    <w:rsid w:val="00534EC3"/>
    <w:rsid w:val="005362A5"/>
    <w:rsid w:val="0053724D"/>
    <w:rsid w:val="00540D45"/>
    <w:rsid w:val="0054400D"/>
    <w:rsid w:val="00544CBE"/>
    <w:rsid w:val="00545AD8"/>
    <w:rsid w:val="00546790"/>
    <w:rsid w:val="00546991"/>
    <w:rsid w:val="005476F5"/>
    <w:rsid w:val="0055059F"/>
    <w:rsid w:val="005529F6"/>
    <w:rsid w:val="00560B37"/>
    <w:rsid w:val="005700A5"/>
    <w:rsid w:val="005738C1"/>
    <w:rsid w:val="0058305B"/>
    <w:rsid w:val="00584341"/>
    <w:rsid w:val="00584C40"/>
    <w:rsid w:val="005962F7"/>
    <w:rsid w:val="00596E20"/>
    <w:rsid w:val="00597DDD"/>
    <w:rsid w:val="005A0A78"/>
    <w:rsid w:val="005A1347"/>
    <w:rsid w:val="005A328C"/>
    <w:rsid w:val="005A5115"/>
    <w:rsid w:val="005A5925"/>
    <w:rsid w:val="005A7491"/>
    <w:rsid w:val="005B167C"/>
    <w:rsid w:val="005B2027"/>
    <w:rsid w:val="005C19BB"/>
    <w:rsid w:val="005C2E37"/>
    <w:rsid w:val="005C3198"/>
    <w:rsid w:val="005C4F65"/>
    <w:rsid w:val="005C5082"/>
    <w:rsid w:val="005D00DD"/>
    <w:rsid w:val="005D2D32"/>
    <w:rsid w:val="005D3B9D"/>
    <w:rsid w:val="005D5FE7"/>
    <w:rsid w:val="005D7591"/>
    <w:rsid w:val="005D78D9"/>
    <w:rsid w:val="005E05D3"/>
    <w:rsid w:val="005E0CD9"/>
    <w:rsid w:val="005E432B"/>
    <w:rsid w:val="005E4619"/>
    <w:rsid w:val="005F0E0E"/>
    <w:rsid w:val="005F1917"/>
    <w:rsid w:val="005F2161"/>
    <w:rsid w:val="005F294E"/>
    <w:rsid w:val="005F39DB"/>
    <w:rsid w:val="005F3E06"/>
    <w:rsid w:val="005F5937"/>
    <w:rsid w:val="005F66B0"/>
    <w:rsid w:val="00613119"/>
    <w:rsid w:val="0061469D"/>
    <w:rsid w:val="00621753"/>
    <w:rsid w:val="00622884"/>
    <w:rsid w:val="0062340B"/>
    <w:rsid w:val="00624198"/>
    <w:rsid w:val="00633EA3"/>
    <w:rsid w:val="00635317"/>
    <w:rsid w:val="00635DAE"/>
    <w:rsid w:val="006368E8"/>
    <w:rsid w:val="00636C24"/>
    <w:rsid w:val="00636DAF"/>
    <w:rsid w:val="00645845"/>
    <w:rsid w:val="00645A66"/>
    <w:rsid w:val="00651535"/>
    <w:rsid w:val="00663BE6"/>
    <w:rsid w:val="00665096"/>
    <w:rsid w:val="00666A0B"/>
    <w:rsid w:val="0066782F"/>
    <w:rsid w:val="00672E25"/>
    <w:rsid w:val="00682D2B"/>
    <w:rsid w:val="00686541"/>
    <w:rsid w:val="006A2D10"/>
    <w:rsid w:val="006A36F4"/>
    <w:rsid w:val="006A5931"/>
    <w:rsid w:val="006B359A"/>
    <w:rsid w:val="006B5A8B"/>
    <w:rsid w:val="006C0961"/>
    <w:rsid w:val="006C3C74"/>
    <w:rsid w:val="006C6183"/>
    <w:rsid w:val="006D1FD0"/>
    <w:rsid w:val="006D3B59"/>
    <w:rsid w:val="006D417C"/>
    <w:rsid w:val="006D7894"/>
    <w:rsid w:val="006E285A"/>
    <w:rsid w:val="006E36D7"/>
    <w:rsid w:val="006E5433"/>
    <w:rsid w:val="00700281"/>
    <w:rsid w:val="0070698A"/>
    <w:rsid w:val="007076BD"/>
    <w:rsid w:val="0071632A"/>
    <w:rsid w:val="0071635C"/>
    <w:rsid w:val="007163F7"/>
    <w:rsid w:val="00720459"/>
    <w:rsid w:val="00723FD2"/>
    <w:rsid w:val="00725F03"/>
    <w:rsid w:val="00734910"/>
    <w:rsid w:val="0073579E"/>
    <w:rsid w:val="00735D7D"/>
    <w:rsid w:val="0074023C"/>
    <w:rsid w:val="00740E60"/>
    <w:rsid w:val="0074294C"/>
    <w:rsid w:val="00742F40"/>
    <w:rsid w:val="00745CA3"/>
    <w:rsid w:val="00753AC4"/>
    <w:rsid w:val="007571D5"/>
    <w:rsid w:val="0076217C"/>
    <w:rsid w:val="00762DB7"/>
    <w:rsid w:val="007651E2"/>
    <w:rsid w:val="00767985"/>
    <w:rsid w:val="00772CB9"/>
    <w:rsid w:val="00777162"/>
    <w:rsid w:val="00777EC5"/>
    <w:rsid w:val="00782511"/>
    <w:rsid w:val="00785393"/>
    <w:rsid w:val="007857B9"/>
    <w:rsid w:val="0079278C"/>
    <w:rsid w:val="0079367B"/>
    <w:rsid w:val="007A2620"/>
    <w:rsid w:val="007A3705"/>
    <w:rsid w:val="007A707D"/>
    <w:rsid w:val="007B2FAC"/>
    <w:rsid w:val="007B4E06"/>
    <w:rsid w:val="007B7649"/>
    <w:rsid w:val="007C3C10"/>
    <w:rsid w:val="007C4FD6"/>
    <w:rsid w:val="007C58E0"/>
    <w:rsid w:val="007D0938"/>
    <w:rsid w:val="007D15AE"/>
    <w:rsid w:val="007D2572"/>
    <w:rsid w:val="007D32B6"/>
    <w:rsid w:val="007E10CE"/>
    <w:rsid w:val="007E15D2"/>
    <w:rsid w:val="007E4662"/>
    <w:rsid w:val="007E5321"/>
    <w:rsid w:val="007F2294"/>
    <w:rsid w:val="007F32C7"/>
    <w:rsid w:val="007F3A2B"/>
    <w:rsid w:val="007F609D"/>
    <w:rsid w:val="00800EFD"/>
    <w:rsid w:val="0080119C"/>
    <w:rsid w:val="00804EA2"/>
    <w:rsid w:val="00805F5A"/>
    <w:rsid w:val="00806468"/>
    <w:rsid w:val="008075FA"/>
    <w:rsid w:val="00811550"/>
    <w:rsid w:val="0081365D"/>
    <w:rsid w:val="0082082F"/>
    <w:rsid w:val="0082088F"/>
    <w:rsid w:val="008240EB"/>
    <w:rsid w:val="0082690A"/>
    <w:rsid w:val="00826AB0"/>
    <w:rsid w:val="00831CD9"/>
    <w:rsid w:val="0083215F"/>
    <w:rsid w:val="00845451"/>
    <w:rsid w:val="00851F59"/>
    <w:rsid w:val="00852ABD"/>
    <w:rsid w:val="00862108"/>
    <w:rsid w:val="008628F0"/>
    <w:rsid w:val="008637D4"/>
    <w:rsid w:val="008638CE"/>
    <w:rsid w:val="0086473E"/>
    <w:rsid w:val="00865C48"/>
    <w:rsid w:val="0086683B"/>
    <w:rsid w:val="00872113"/>
    <w:rsid w:val="00884F5E"/>
    <w:rsid w:val="008865DA"/>
    <w:rsid w:val="00886C1D"/>
    <w:rsid w:val="008877F7"/>
    <w:rsid w:val="00887DCA"/>
    <w:rsid w:val="008902B5"/>
    <w:rsid w:val="00890B00"/>
    <w:rsid w:val="0089108C"/>
    <w:rsid w:val="00892EF2"/>
    <w:rsid w:val="00894C11"/>
    <w:rsid w:val="008950DC"/>
    <w:rsid w:val="0089734F"/>
    <w:rsid w:val="00897F8C"/>
    <w:rsid w:val="008A08DE"/>
    <w:rsid w:val="008A57B8"/>
    <w:rsid w:val="008A661B"/>
    <w:rsid w:val="008B3CE5"/>
    <w:rsid w:val="008B4542"/>
    <w:rsid w:val="008B4DE2"/>
    <w:rsid w:val="008C54CB"/>
    <w:rsid w:val="008C67AE"/>
    <w:rsid w:val="008C697A"/>
    <w:rsid w:val="008D48B4"/>
    <w:rsid w:val="008D51D5"/>
    <w:rsid w:val="008D5539"/>
    <w:rsid w:val="008E1C97"/>
    <w:rsid w:val="008F2E7E"/>
    <w:rsid w:val="008F2EBD"/>
    <w:rsid w:val="008F38B2"/>
    <w:rsid w:val="008F41F3"/>
    <w:rsid w:val="008F5735"/>
    <w:rsid w:val="00902CF2"/>
    <w:rsid w:val="00903AEE"/>
    <w:rsid w:val="00904360"/>
    <w:rsid w:val="00904EC8"/>
    <w:rsid w:val="00906CF3"/>
    <w:rsid w:val="00907F72"/>
    <w:rsid w:val="00913102"/>
    <w:rsid w:val="00917976"/>
    <w:rsid w:val="00917C3A"/>
    <w:rsid w:val="00921C60"/>
    <w:rsid w:val="00922F2A"/>
    <w:rsid w:val="00923358"/>
    <w:rsid w:val="00924799"/>
    <w:rsid w:val="00934236"/>
    <w:rsid w:val="009345A1"/>
    <w:rsid w:val="00936B2B"/>
    <w:rsid w:val="009406D7"/>
    <w:rsid w:val="00940EF2"/>
    <w:rsid w:val="00941C75"/>
    <w:rsid w:val="009421C6"/>
    <w:rsid w:val="00946408"/>
    <w:rsid w:val="00946FB9"/>
    <w:rsid w:val="009478BE"/>
    <w:rsid w:val="009523BD"/>
    <w:rsid w:val="009538FD"/>
    <w:rsid w:val="00953C38"/>
    <w:rsid w:val="00956963"/>
    <w:rsid w:val="00961792"/>
    <w:rsid w:val="009640E9"/>
    <w:rsid w:val="00967552"/>
    <w:rsid w:val="009740B3"/>
    <w:rsid w:val="00982B37"/>
    <w:rsid w:val="00983417"/>
    <w:rsid w:val="00983A27"/>
    <w:rsid w:val="00984533"/>
    <w:rsid w:val="00986747"/>
    <w:rsid w:val="00987F5C"/>
    <w:rsid w:val="00990F51"/>
    <w:rsid w:val="00991954"/>
    <w:rsid w:val="00994BA1"/>
    <w:rsid w:val="009B1B29"/>
    <w:rsid w:val="009B528A"/>
    <w:rsid w:val="009C0AB4"/>
    <w:rsid w:val="009C564F"/>
    <w:rsid w:val="009D3EA2"/>
    <w:rsid w:val="009D4C14"/>
    <w:rsid w:val="009D597C"/>
    <w:rsid w:val="009E091B"/>
    <w:rsid w:val="009E438C"/>
    <w:rsid w:val="009E68B9"/>
    <w:rsid w:val="009E74A3"/>
    <w:rsid w:val="009F2824"/>
    <w:rsid w:val="009F6F6A"/>
    <w:rsid w:val="009F7A2A"/>
    <w:rsid w:val="00A02A18"/>
    <w:rsid w:val="00A03DED"/>
    <w:rsid w:val="00A21433"/>
    <w:rsid w:val="00A22BFD"/>
    <w:rsid w:val="00A232CF"/>
    <w:rsid w:val="00A2359B"/>
    <w:rsid w:val="00A23C4B"/>
    <w:rsid w:val="00A24B35"/>
    <w:rsid w:val="00A30B74"/>
    <w:rsid w:val="00A315D5"/>
    <w:rsid w:val="00A331BD"/>
    <w:rsid w:val="00A33452"/>
    <w:rsid w:val="00A34360"/>
    <w:rsid w:val="00A35035"/>
    <w:rsid w:val="00A372B1"/>
    <w:rsid w:val="00A44B8F"/>
    <w:rsid w:val="00A455BC"/>
    <w:rsid w:val="00A457F4"/>
    <w:rsid w:val="00A4681A"/>
    <w:rsid w:val="00A5050E"/>
    <w:rsid w:val="00A50F6C"/>
    <w:rsid w:val="00A52FEA"/>
    <w:rsid w:val="00A63B4E"/>
    <w:rsid w:val="00A70F00"/>
    <w:rsid w:val="00A76944"/>
    <w:rsid w:val="00A80291"/>
    <w:rsid w:val="00A835C5"/>
    <w:rsid w:val="00A84FA0"/>
    <w:rsid w:val="00A8539A"/>
    <w:rsid w:val="00A95C42"/>
    <w:rsid w:val="00AA0EFE"/>
    <w:rsid w:val="00AA1BBA"/>
    <w:rsid w:val="00AA1E7F"/>
    <w:rsid w:val="00AA3BB5"/>
    <w:rsid w:val="00AA3C41"/>
    <w:rsid w:val="00AA59EF"/>
    <w:rsid w:val="00AB10F4"/>
    <w:rsid w:val="00AB2CEB"/>
    <w:rsid w:val="00AB3E54"/>
    <w:rsid w:val="00AB4B09"/>
    <w:rsid w:val="00AB4BA0"/>
    <w:rsid w:val="00AC22E0"/>
    <w:rsid w:val="00AC258D"/>
    <w:rsid w:val="00AD04A2"/>
    <w:rsid w:val="00AD0C0A"/>
    <w:rsid w:val="00AD4425"/>
    <w:rsid w:val="00AD52CB"/>
    <w:rsid w:val="00AD77C0"/>
    <w:rsid w:val="00AE1126"/>
    <w:rsid w:val="00AE1435"/>
    <w:rsid w:val="00AE14F9"/>
    <w:rsid w:val="00AE3BC1"/>
    <w:rsid w:val="00AE40B7"/>
    <w:rsid w:val="00AF0865"/>
    <w:rsid w:val="00AF0B59"/>
    <w:rsid w:val="00AF1919"/>
    <w:rsid w:val="00AF1E60"/>
    <w:rsid w:val="00AF2E62"/>
    <w:rsid w:val="00AF458B"/>
    <w:rsid w:val="00AF52B5"/>
    <w:rsid w:val="00AF5EFD"/>
    <w:rsid w:val="00B011B4"/>
    <w:rsid w:val="00B01901"/>
    <w:rsid w:val="00B02AA8"/>
    <w:rsid w:val="00B129FE"/>
    <w:rsid w:val="00B12A6A"/>
    <w:rsid w:val="00B13BA4"/>
    <w:rsid w:val="00B1460B"/>
    <w:rsid w:val="00B22EA1"/>
    <w:rsid w:val="00B2602B"/>
    <w:rsid w:val="00B32174"/>
    <w:rsid w:val="00B347F1"/>
    <w:rsid w:val="00B351C5"/>
    <w:rsid w:val="00B37B62"/>
    <w:rsid w:val="00B42751"/>
    <w:rsid w:val="00B44BA4"/>
    <w:rsid w:val="00B44F2B"/>
    <w:rsid w:val="00B45570"/>
    <w:rsid w:val="00B466AC"/>
    <w:rsid w:val="00B518EF"/>
    <w:rsid w:val="00B554B3"/>
    <w:rsid w:val="00B56152"/>
    <w:rsid w:val="00B60A72"/>
    <w:rsid w:val="00B63698"/>
    <w:rsid w:val="00B65180"/>
    <w:rsid w:val="00B662CB"/>
    <w:rsid w:val="00B703B8"/>
    <w:rsid w:val="00B72040"/>
    <w:rsid w:val="00B75583"/>
    <w:rsid w:val="00B80283"/>
    <w:rsid w:val="00B8209A"/>
    <w:rsid w:val="00B824A7"/>
    <w:rsid w:val="00B86989"/>
    <w:rsid w:val="00B86C97"/>
    <w:rsid w:val="00B922BE"/>
    <w:rsid w:val="00B929AD"/>
    <w:rsid w:val="00B930AD"/>
    <w:rsid w:val="00B95E71"/>
    <w:rsid w:val="00B97243"/>
    <w:rsid w:val="00BA15C4"/>
    <w:rsid w:val="00BA1C93"/>
    <w:rsid w:val="00BA3DF2"/>
    <w:rsid w:val="00BA5466"/>
    <w:rsid w:val="00BA65F2"/>
    <w:rsid w:val="00BB2DAF"/>
    <w:rsid w:val="00BB32E5"/>
    <w:rsid w:val="00BB4758"/>
    <w:rsid w:val="00BB4EFF"/>
    <w:rsid w:val="00BB6C4E"/>
    <w:rsid w:val="00BC6E7D"/>
    <w:rsid w:val="00BC7F4B"/>
    <w:rsid w:val="00BD45C3"/>
    <w:rsid w:val="00BD6D48"/>
    <w:rsid w:val="00BF17B8"/>
    <w:rsid w:val="00BF6094"/>
    <w:rsid w:val="00BF73E4"/>
    <w:rsid w:val="00BF74C3"/>
    <w:rsid w:val="00C1184D"/>
    <w:rsid w:val="00C11DA6"/>
    <w:rsid w:val="00C146D8"/>
    <w:rsid w:val="00C20506"/>
    <w:rsid w:val="00C27F4C"/>
    <w:rsid w:val="00C321A7"/>
    <w:rsid w:val="00C36ECF"/>
    <w:rsid w:val="00C37A7E"/>
    <w:rsid w:val="00C41FEE"/>
    <w:rsid w:val="00C42CCE"/>
    <w:rsid w:val="00C46BA6"/>
    <w:rsid w:val="00C55BD0"/>
    <w:rsid w:val="00C63C2F"/>
    <w:rsid w:val="00C65744"/>
    <w:rsid w:val="00C66842"/>
    <w:rsid w:val="00C67F72"/>
    <w:rsid w:val="00C755EC"/>
    <w:rsid w:val="00C76329"/>
    <w:rsid w:val="00C805C1"/>
    <w:rsid w:val="00C85610"/>
    <w:rsid w:val="00C876F7"/>
    <w:rsid w:val="00C919BF"/>
    <w:rsid w:val="00C91C40"/>
    <w:rsid w:val="00C95E13"/>
    <w:rsid w:val="00C96DBB"/>
    <w:rsid w:val="00CA159B"/>
    <w:rsid w:val="00CA1DDB"/>
    <w:rsid w:val="00CA33CD"/>
    <w:rsid w:val="00CA5647"/>
    <w:rsid w:val="00CA7339"/>
    <w:rsid w:val="00CB0C2C"/>
    <w:rsid w:val="00CB1427"/>
    <w:rsid w:val="00CB27DA"/>
    <w:rsid w:val="00CB351E"/>
    <w:rsid w:val="00CB5330"/>
    <w:rsid w:val="00CB54E5"/>
    <w:rsid w:val="00CC1E83"/>
    <w:rsid w:val="00CC4B97"/>
    <w:rsid w:val="00CC4BEE"/>
    <w:rsid w:val="00CD1852"/>
    <w:rsid w:val="00CD2262"/>
    <w:rsid w:val="00CD3C32"/>
    <w:rsid w:val="00CD4874"/>
    <w:rsid w:val="00CE0EBD"/>
    <w:rsid w:val="00CE1BC2"/>
    <w:rsid w:val="00CE2FE1"/>
    <w:rsid w:val="00CE36E1"/>
    <w:rsid w:val="00CF3F1C"/>
    <w:rsid w:val="00CF6E57"/>
    <w:rsid w:val="00D02B13"/>
    <w:rsid w:val="00D03B3F"/>
    <w:rsid w:val="00D112B0"/>
    <w:rsid w:val="00D15023"/>
    <w:rsid w:val="00D1515B"/>
    <w:rsid w:val="00D21A03"/>
    <w:rsid w:val="00D2471D"/>
    <w:rsid w:val="00D27145"/>
    <w:rsid w:val="00D2765A"/>
    <w:rsid w:val="00D330CD"/>
    <w:rsid w:val="00D35260"/>
    <w:rsid w:val="00D412D5"/>
    <w:rsid w:val="00D421C7"/>
    <w:rsid w:val="00D438C8"/>
    <w:rsid w:val="00D450AF"/>
    <w:rsid w:val="00D4768C"/>
    <w:rsid w:val="00D54A7F"/>
    <w:rsid w:val="00D554BD"/>
    <w:rsid w:val="00D60102"/>
    <w:rsid w:val="00D60F66"/>
    <w:rsid w:val="00D61FA0"/>
    <w:rsid w:val="00D63E59"/>
    <w:rsid w:val="00D6426F"/>
    <w:rsid w:val="00D71D60"/>
    <w:rsid w:val="00D721C8"/>
    <w:rsid w:val="00D72BD5"/>
    <w:rsid w:val="00D73EFE"/>
    <w:rsid w:val="00D74858"/>
    <w:rsid w:val="00D806C8"/>
    <w:rsid w:val="00D861BC"/>
    <w:rsid w:val="00D87CF4"/>
    <w:rsid w:val="00D87D9B"/>
    <w:rsid w:val="00D93762"/>
    <w:rsid w:val="00D94761"/>
    <w:rsid w:val="00DA07C3"/>
    <w:rsid w:val="00DA0E62"/>
    <w:rsid w:val="00DA1508"/>
    <w:rsid w:val="00DA78C6"/>
    <w:rsid w:val="00DB1101"/>
    <w:rsid w:val="00DB21BF"/>
    <w:rsid w:val="00DB4068"/>
    <w:rsid w:val="00DB40B3"/>
    <w:rsid w:val="00DB44C6"/>
    <w:rsid w:val="00DC2962"/>
    <w:rsid w:val="00DC479A"/>
    <w:rsid w:val="00DC6110"/>
    <w:rsid w:val="00DD276F"/>
    <w:rsid w:val="00DD6059"/>
    <w:rsid w:val="00DE5AD4"/>
    <w:rsid w:val="00DF4448"/>
    <w:rsid w:val="00DF507D"/>
    <w:rsid w:val="00DF52F0"/>
    <w:rsid w:val="00DF661E"/>
    <w:rsid w:val="00E03CD3"/>
    <w:rsid w:val="00E03DE7"/>
    <w:rsid w:val="00E06395"/>
    <w:rsid w:val="00E10BB4"/>
    <w:rsid w:val="00E13C6D"/>
    <w:rsid w:val="00E14D13"/>
    <w:rsid w:val="00E15419"/>
    <w:rsid w:val="00E2510E"/>
    <w:rsid w:val="00E2570E"/>
    <w:rsid w:val="00E268E2"/>
    <w:rsid w:val="00E3022A"/>
    <w:rsid w:val="00E31D2D"/>
    <w:rsid w:val="00E3315A"/>
    <w:rsid w:val="00E33A8A"/>
    <w:rsid w:val="00E358BC"/>
    <w:rsid w:val="00E5044C"/>
    <w:rsid w:val="00E50576"/>
    <w:rsid w:val="00E5428F"/>
    <w:rsid w:val="00E567A8"/>
    <w:rsid w:val="00E60889"/>
    <w:rsid w:val="00E623FE"/>
    <w:rsid w:val="00E72036"/>
    <w:rsid w:val="00E7288B"/>
    <w:rsid w:val="00E72CB1"/>
    <w:rsid w:val="00E737F0"/>
    <w:rsid w:val="00E74982"/>
    <w:rsid w:val="00E7743F"/>
    <w:rsid w:val="00E7798A"/>
    <w:rsid w:val="00E804F4"/>
    <w:rsid w:val="00E834B5"/>
    <w:rsid w:val="00E83FA2"/>
    <w:rsid w:val="00E856D0"/>
    <w:rsid w:val="00E8641F"/>
    <w:rsid w:val="00E93739"/>
    <w:rsid w:val="00E94652"/>
    <w:rsid w:val="00E9532F"/>
    <w:rsid w:val="00E97EFB"/>
    <w:rsid w:val="00EA006C"/>
    <w:rsid w:val="00EA0B43"/>
    <w:rsid w:val="00EB267B"/>
    <w:rsid w:val="00EB41C1"/>
    <w:rsid w:val="00EC135B"/>
    <w:rsid w:val="00EC4AC6"/>
    <w:rsid w:val="00EC625F"/>
    <w:rsid w:val="00ED1947"/>
    <w:rsid w:val="00ED1A81"/>
    <w:rsid w:val="00ED529E"/>
    <w:rsid w:val="00ED5B52"/>
    <w:rsid w:val="00ED71C9"/>
    <w:rsid w:val="00EE2DC0"/>
    <w:rsid w:val="00EE3811"/>
    <w:rsid w:val="00EE4EFA"/>
    <w:rsid w:val="00EE6F5E"/>
    <w:rsid w:val="00EE7123"/>
    <w:rsid w:val="00EF5837"/>
    <w:rsid w:val="00EF67E4"/>
    <w:rsid w:val="00F02323"/>
    <w:rsid w:val="00F04530"/>
    <w:rsid w:val="00F0546A"/>
    <w:rsid w:val="00F0565F"/>
    <w:rsid w:val="00F12621"/>
    <w:rsid w:val="00F14E6B"/>
    <w:rsid w:val="00F21D39"/>
    <w:rsid w:val="00F23A08"/>
    <w:rsid w:val="00F254D3"/>
    <w:rsid w:val="00F2586D"/>
    <w:rsid w:val="00F3054B"/>
    <w:rsid w:val="00F32EF8"/>
    <w:rsid w:val="00F3366D"/>
    <w:rsid w:val="00F339FA"/>
    <w:rsid w:val="00F361E3"/>
    <w:rsid w:val="00F36805"/>
    <w:rsid w:val="00F36BF3"/>
    <w:rsid w:val="00F37D2C"/>
    <w:rsid w:val="00F41D46"/>
    <w:rsid w:val="00F45601"/>
    <w:rsid w:val="00F503BB"/>
    <w:rsid w:val="00F55A91"/>
    <w:rsid w:val="00F56820"/>
    <w:rsid w:val="00F570C8"/>
    <w:rsid w:val="00F57C9D"/>
    <w:rsid w:val="00F6043A"/>
    <w:rsid w:val="00F6328A"/>
    <w:rsid w:val="00F63EEE"/>
    <w:rsid w:val="00F6420E"/>
    <w:rsid w:val="00F64EA2"/>
    <w:rsid w:val="00F734FF"/>
    <w:rsid w:val="00F7387F"/>
    <w:rsid w:val="00F75CC9"/>
    <w:rsid w:val="00F83A10"/>
    <w:rsid w:val="00F8614E"/>
    <w:rsid w:val="00F93B6E"/>
    <w:rsid w:val="00F93BF1"/>
    <w:rsid w:val="00F94209"/>
    <w:rsid w:val="00FA3B38"/>
    <w:rsid w:val="00FA5381"/>
    <w:rsid w:val="00FA643C"/>
    <w:rsid w:val="00FA7D06"/>
    <w:rsid w:val="00FB0891"/>
    <w:rsid w:val="00FB1CA7"/>
    <w:rsid w:val="00FC1A8F"/>
    <w:rsid w:val="00FC4A1B"/>
    <w:rsid w:val="00FC6AC4"/>
    <w:rsid w:val="00FC7845"/>
    <w:rsid w:val="00FD338D"/>
    <w:rsid w:val="00FD38DC"/>
    <w:rsid w:val="00FD5C92"/>
    <w:rsid w:val="00FD6797"/>
    <w:rsid w:val="00FE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09C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281"/>
    <w:pPr>
      <w:keepNext/>
      <w:keepLines/>
      <w:numPr>
        <w:numId w:val="1"/>
      </w:numPr>
      <w:spacing w:before="48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0281"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7882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88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7882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7882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78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7882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7882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DBB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6DB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3A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3A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3A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3A2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00281"/>
    <w:rPr>
      <w:rFonts w:ascii="Arial" w:hAnsi="Arial"/>
      <w:b/>
      <w:bCs/>
      <w:sz w:val="22"/>
      <w:szCs w:val="28"/>
    </w:rPr>
  </w:style>
  <w:style w:type="character" w:customStyle="1" w:styleId="Heading2Char">
    <w:name w:val="Heading 2 Char"/>
    <w:link w:val="Heading2"/>
    <w:uiPriority w:val="9"/>
    <w:rsid w:val="003009C3"/>
    <w:rPr>
      <w:rFonts w:ascii="Arial" w:hAnsi="Arial"/>
      <w:b/>
      <w:bCs/>
      <w:sz w:val="22"/>
      <w:szCs w:val="26"/>
    </w:rPr>
  </w:style>
  <w:style w:type="character" w:customStyle="1" w:styleId="Heading3Char">
    <w:name w:val="Heading 3 Char"/>
    <w:link w:val="Heading3"/>
    <w:uiPriority w:val="9"/>
    <w:rsid w:val="003009C3"/>
    <w:rPr>
      <w:rFonts w:ascii="Cambria" w:hAnsi="Cambria"/>
      <w:b/>
      <w:bCs/>
      <w:color w:val="4F81BD"/>
      <w:sz w:val="22"/>
      <w:szCs w:val="24"/>
    </w:rPr>
  </w:style>
  <w:style w:type="character" w:customStyle="1" w:styleId="Heading4Char">
    <w:name w:val="Heading 4 Char"/>
    <w:link w:val="Heading4"/>
    <w:uiPriority w:val="9"/>
    <w:rsid w:val="00387882"/>
    <w:rPr>
      <w:rFonts w:ascii="Cambria" w:hAnsi="Cambria"/>
      <w:b/>
      <w:bCs/>
      <w:i/>
      <w:iCs/>
      <w:color w:val="4F81BD"/>
      <w:sz w:val="22"/>
      <w:szCs w:val="24"/>
    </w:rPr>
  </w:style>
  <w:style w:type="character" w:customStyle="1" w:styleId="Heading5Char">
    <w:name w:val="Heading 5 Char"/>
    <w:link w:val="Heading5"/>
    <w:uiPriority w:val="9"/>
    <w:rsid w:val="00387882"/>
    <w:rPr>
      <w:rFonts w:ascii="Cambria" w:hAnsi="Cambria"/>
      <w:color w:val="243F60"/>
      <w:sz w:val="22"/>
      <w:szCs w:val="24"/>
    </w:rPr>
  </w:style>
  <w:style w:type="character" w:customStyle="1" w:styleId="Heading6Char">
    <w:name w:val="Heading 6 Char"/>
    <w:link w:val="Heading6"/>
    <w:uiPriority w:val="9"/>
    <w:rsid w:val="00387882"/>
    <w:rPr>
      <w:rFonts w:ascii="Cambria" w:hAnsi="Cambria"/>
      <w:i/>
      <w:iCs/>
      <w:color w:val="243F60"/>
      <w:sz w:val="22"/>
      <w:szCs w:val="24"/>
    </w:rPr>
  </w:style>
  <w:style w:type="character" w:customStyle="1" w:styleId="Heading7Char">
    <w:name w:val="Heading 7 Char"/>
    <w:link w:val="Heading7"/>
    <w:uiPriority w:val="9"/>
    <w:rsid w:val="00387882"/>
    <w:rPr>
      <w:rFonts w:ascii="Cambria" w:hAnsi="Cambria"/>
      <w:i/>
      <w:iCs/>
      <w:color w:val="404040"/>
      <w:sz w:val="22"/>
      <w:szCs w:val="24"/>
    </w:rPr>
  </w:style>
  <w:style w:type="character" w:customStyle="1" w:styleId="Heading8Char">
    <w:name w:val="Heading 8 Char"/>
    <w:link w:val="Heading8"/>
    <w:uiPriority w:val="9"/>
    <w:rsid w:val="00387882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rsid w:val="00387882"/>
    <w:rPr>
      <w:rFonts w:ascii="Cambria" w:hAnsi="Cambria"/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882"/>
    <w:pPr>
      <w:numPr>
        <w:numId w:val="0"/>
      </w:num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3A4566"/>
    <w:pPr>
      <w:tabs>
        <w:tab w:val="left" w:pos="426"/>
        <w:tab w:val="right" w:leader="dot" w:pos="10338"/>
      </w:tabs>
      <w:spacing w:after="100"/>
    </w:pPr>
  </w:style>
  <w:style w:type="character" w:styleId="Hyperlink">
    <w:name w:val="Hyperlink"/>
    <w:uiPriority w:val="99"/>
    <w:unhideWhenUsed/>
    <w:rsid w:val="0038788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4D7D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D7D9A"/>
    <w:pPr>
      <w:spacing w:after="100"/>
      <w:ind w:left="480"/>
    </w:pPr>
  </w:style>
  <w:style w:type="character" w:styleId="CommentReference">
    <w:name w:val="annotation reference"/>
    <w:rsid w:val="006C6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183"/>
    <w:rPr>
      <w:sz w:val="20"/>
      <w:szCs w:val="20"/>
    </w:rPr>
  </w:style>
  <w:style w:type="character" w:customStyle="1" w:styleId="CommentTextChar">
    <w:name w:val="Comment Text Char"/>
    <w:link w:val="CommentText"/>
    <w:rsid w:val="006C61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C6183"/>
    <w:rPr>
      <w:b/>
      <w:bCs/>
    </w:rPr>
  </w:style>
  <w:style w:type="character" w:customStyle="1" w:styleId="CommentSubjectChar">
    <w:name w:val="Comment Subject Char"/>
    <w:link w:val="CommentSubject"/>
    <w:rsid w:val="006C6183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C41FEE"/>
    <w:pPr>
      <w:tabs>
        <w:tab w:val="left" w:pos="567"/>
      </w:tabs>
      <w:autoSpaceDE w:val="0"/>
      <w:autoSpaceDN w:val="0"/>
      <w:adjustRightInd w:val="0"/>
    </w:pPr>
    <w:rPr>
      <w:rFonts w:ascii="Optima LT Std" w:hAnsi="Optima LT Std" w:cs="Arial"/>
      <w:lang w:eastAsia="en-US"/>
    </w:rPr>
  </w:style>
  <w:style w:type="character" w:customStyle="1" w:styleId="BodyTextChar">
    <w:name w:val="Body Text Char"/>
    <w:link w:val="BodyText"/>
    <w:rsid w:val="00C41FEE"/>
    <w:rPr>
      <w:rFonts w:ascii="Optima LT Std" w:hAnsi="Optima LT Std" w:cs="Arial"/>
      <w:sz w:val="22"/>
      <w:szCs w:val="24"/>
      <w:lang w:eastAsia="en-US"/>
    </w:rPr>
  </w:style>
  <w:style w:type="paragraph" w:styleId="ListBullet2">
    <w:name w:val="List Bullet 2"/>
    <w:basedOn w:val="Normal"/>
    <w:rsid w:val="00C41FEE"/>
    <w:pPr>
      <w:numPr>
        <w:numId w:val="6"/>
      </w:numPr>
      <w:autoSpaceDE w:val="0"/>
      <w:autoSpaceDN w:val="0"/>
      <w:adjustRightInd w:val="0"/>
    </w:pPr>
    <w:rPr>
      <w:rFonts w:ascii="Optima LT Std" w:hAnsi="Optima LT Std" w:cs="Arial"/>
      <w:sz w:val="24"/>
      <w:lang w:eastAsia="en-US"/>
    </w:rPr>
  </w:style>
  <w:style w:type="paragraph" w:customStyle="1" w:styleId="PolicyName">
    <w:name w:val="Policy Name"/>
    <w:basedOn w:val="Normal"/>
    <w:rsid w:val="00C41FEE"/>
    <w:pPr>
      <w:framePr w:wrap="notBeside" w:vAnchor="text" w:hAnchor="text" w:y="1"/>
      <w:autoSpaceDE w:val="0"/>
      <w:autoSpaceDN w:val="0"/>
      <w:adjustRightInd w:val="0"/>
    </w:pPr>
    <w:rPr>
      <w:rFonts w:ascii="Optima LT Std" w:hAnsi="Optima LT Std" w:cs="Arial"/>
      <w:b/>
      <w:sz w:val="32"/>
      <w:lang w:eastAsia="en-US"/>
    </w:rPr>
  </w:style>
  <w:style w:type="character" w:styleId="FollowedHyperlink">
    <w:name w:val="FollowedHyperlink"/>
    <w:rsid w:val="006D417C"/>
    <w:rPr>
      <w:color w:val="800080"/>
      <w:u w:val="single"/>
    </w:rPr>
  </w:style>
  <w:style w:type="paragraph" w:styleId="BodyText2">
    <w:name w:val="Body Text 2"/>
    <w:basedOn w:val="Normal"/>
    <w:link w:val="BodyText2Char"/>
    <w:rsid w:val="00584341"/>
    <w:pPr>
      <w:spacing w:after="120" w:line="480" w:lineRule="auto"/>
    </w:pPr>
  </w:style>
  <w:style w:type="character" w:customStyle="1" w:styleId="BodyText2Char">
    <w:name w:val="Body Text 2 Char"/>
    <w:link w:val="BodyText2"/>
    <w:rsid w:val="00584341"/>
    <w:rPr>
      <w:rFonts w:ascii="Arial" w:hAnsi="Arial"/>
      <w:sz w:val="22"/>
      <w:szCs w:val="24"/>
    </w:rPr>
  </w:style>
  <w:style w:type="character" w:styleId="PageNumber">
    <w:name w:val="page number"/>
    <w:rsid w:val="00584341"/>
  </w:style>
  <w:style w:type="numbering" w:customStyle="1" w:styleId="Style1">
    <w:name w:val="Style1"/>
    <w:uiPriority w:val="99"/>
    <w:rsid w:val="00666A0B"/>
    <w:pPr>
      <w:numPr>
        <w:numId w:val="3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608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7845"/>
    <w:rPr>
      <w:rFonts w:ascii="Arial" w:hAnsi="Arial"/>
      <w:sz w:val="22"/>
      <w:szCs w:val="24"/>
    </w:rPr>
  </w:style>
  <w:style w:type="table" w:customStyle="1" w:styleId="TableGrid1">
    <w:name w:val="Table Grid1"/>
    <w:basedOn w:val="TableNormal"/>
    <w:next w:val="TableGrid"/>
    <w:rsid w:val="002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in.tafesa.edu.au/hr/psm_act.php" TargetMode="External" Id="rId13" /><Relationship Type="http://schemas.openxmlformats.org/officeDocument/2006/relationships/hyperlink" Target="http://in.tafesa.edu.au/hr/documents/South-Australian-Modern-Public-Sector-Enterprise-Agreement_Salaried-2017.pdf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mailto:tafepayrolldoc@sa.gov.au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legislation.sa.gov.au/lz/c/r/public%20sector%20regulations%202010/current/2010.9.auth.pdf" TargetMode="External" Id="rId12" /><Relationship Type="http://schemas.openxmlformats.org/officeDocument/2006/relationships/hyperlink" Target="http://in.tafesa.edu.au/hr/documents/South-Australian-Public-Sector-Wages-Parity-Enterprise-Agreement-Weekly-Paid-2017.pdf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legislation.sa.gov.au/LZ/C/A/PUBLIC%20SECTOR%20ACT%202009/CURRENT/2009.37.AUTH.PDF" TargetMode="External" Id="rId16" /><Relationship Type="http://schemas.openxmlformats.org/officeDocument/2006/relationships/hyperlink" Target="http://in.tafesa.edu.au/hr/delegations.php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afesaedu.sharepoint.com/teams/pas/pp/TAFE%20SA%20Policies/Forms/HR%20Policies.aspx" TargetMode="External" Id="rId11" /><Relationship Type="http://schemas.openxmlformats.org/officeDocument/2006/relationships/header" Target="header2.xml" Id="rId24" /><Relationship Type="http://schemas.openxmlformats.org/officeDocument/2006/relationships/styles" Target="styles.xml" Id="rId5" /><Relationship Type="http://schemas.openxmlformats.org/officeDocument/2006/relationships/hyperlink" Target="https://publicsector.sa.gov.au/wp-content/uploads/20171120-Determination-3.1-Employment-Conditions-Hours-of-Work-Overtime-and-Leave.pdf" TargetMode="External" Id="rId15" /><Relationship Type="http://schemas.openxmlformats.org/officeDocument/2006/relationships/footer" Target="footer1.xml" Id="rId23" /><Relationship Type="http://schemas.openxmlformats.org/officeDocument/2006/relationships/image" Target="media/image1.jpeg" Id="rId10" /><Relationship Type="http://schemas.openxmlformats.org/officeDocument/2006/relationships/hyperlink" Target="http://in.tafesa.edu.au/hr/documents/HRB9-VariationinHours-ChangeofWorkPattern.doc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in.tafesa.edu.au/hr/documents/tafe_educational_staff_interim_award_ch_1333.pdf" TargetMode="External" Id="rId14" /><Relationship Type="http://schemas.openxmlformats.org/officeDocument/2006/relationships/header" Target="header1.xml" Id="rId22" /><Relationship Type="http://schemas.openxmlformats.org/officeDocument/2006/relationships/theme" Target="theme/theme1.xml" Id="rId27" /><Relationship Type="http://schemas.openxmlformats.org/officeDocument/2006/relationships/customXml" Target="/customXML/item4.xml" Id="Rf4efdf847deb4b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999294AA6524B9DB1A70BB3BBF644CF" version="1.0.0">
  <systemFields>
    <field name="Objective-Id">
      <value order="0">A664121</value>
    </field>
    <field name="Objective-Title">
      <value order="0">EXH0534 6.2.12 Variation in Hours Policy</value>
    </field>
    <field name="Objective-Description">
      <value order="0"/>
    </field>
    <field name="Objective-CreationStamp">
      <value order="0">2022-09-28T22:28:21Z</value>
    </field>
    <field name="Objective-IsApproved">
      <value order="0">false</value>
    </field>
    <field name="Objective-IsPublished">
      <value order="0">true</value>
    </field>
    <field name="Objective-DatePublished">
      <value order="0">2022-09-28T22:28:27Z</value>
    </field>
    <field name="Objective-ModificationStamp">
      <value order="0">2022-09-28T22:28:28Z</value>
    </field>
    <field name="Objective-Owner">
      <value order="0">Ruby Cocks-Veale</value>
    </field>
    <field name="Objective-Path">
      <value order="0">Objective Global Folder:ICAC File Plan:COMMISSIONER'S FUNCTION:Evaluations:Commissioner's Function - Evaluations - Evaluation of TAFE SA Exhibits</value>
    </field>
    <field name="Objective-Parent">
      <value order="0">Commissioner's Function - Evaluations - Evaluation of TAFE SA Exhibits</value>
    </field>
    <field name="Objective-State">
      <value order="0">Published</value>
    </field>
    <field name="Objective-VersionId">
      <value order="0">vA962204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ICAC 2022/00370</value>
    </field>
    <field name="Objective-Classification">
      <value order="0">PROTECTED</value>
    </field>
    <field name="Objective-Caveats">
      <value order="0"/>
    </field>
  </systemFields>
  <catalogues>
    <catalogue name="General Document Type Catalogue" type="type" ori="id:cA11">
      <field name="Objective-Document Type">
        <value order="0">OTR - Other (for anything else)</value>
      </field>
      <field name="Objective-Record Date">
        <value order="0">2022-09-28T13:30:00Z</value>
      </field>
      <field name="Objective-Protective Marking">
        <value order="0">OFFICIAL</value>
      </field>
      <field name="Objective-Date and Time Received">
        <value order="0"/>
      </field>
      <field name="Objective-Intelligence Value">
        <value order="0">No</value>
      </field>
      <field name="Objective-SharePoint Integration">
        <value order="0">No</value>
      </field>
      <field name="Objective-Decision">
        <value order="0"/>
      </field>
      <field name="Objective-Disclosure Required">
        <value order="0">No</value>
      </field>
      <field name="Objective-Disclosure Date">
        <value order="0"/>
      </field>
      <field name="Objective-Disclosure Name">
        <value order="0"/>
      </field>
      <field name="Objective-Document Create Date">
        <value order="0"/>
      </field>
      <field name="Objective-Document Created By">
        <value order="0"/>
      </field>
      <field name="Objective-Export Status">
        <value order="0"/>
      </field>
      <field name="Objective-Date Record Locked">
        <value order="0"/>
      </field>
      <field name="Objective-Resolve ID">
        <value order="0"/>
      </field>
      <field name="Objective-Physical File Exists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999294AA6524B9DB1A70BB3BBF644C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1B6721499BD45AF12700D0BCC42AC" ma:contentTypeVersion="4" ma:contentTypeDescription="Create a new document." ma:contentTypeScope="" ma:versionID="863a4c5f74ec1c4d9d67640ca30196d6">
  <xsd:schema xmlns:xsd="http://www.w3.org/2001/XMLSchema" xmlns:xs="http://www.w3.org/2001/XMLSchema" xmlns:p="http://schemas.microsoft.com/office/2006/metadata/properties" xmlns:ns2="58b49b11-a988-4d06-bfd9-456f711761b6" targetNamespace="http://schemas.microsoft.com/office/2006/metadata/properties" ma:root="true" ma:fieldsID="238c8a4250e609710afb4cc5135fd75c" ns2:_="">
    <xsd:import namespace="58b49b11-a988-4d06-bfd9-456f71176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9b11-a988-4d06-bfd9-456f71176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D258C-4594-4806-A779-0A8E743B196A}"/>
</file>

<file path=customXml/itemProps2.xml><?xml version="1.0" encoding="utf-8"?>
<ds:datastoreItem xmlns:ds="http://schemas.openxmlformats.org/officeDocument/2006/customXml" ds:itemID="{F5496F8C-B84B-49F8-B7DD-DF9E2C59AB9B}">
  <ds:schemaRefs>
    <ds:schemaRef ds:uri="08059ee5-2c73-4021-b17a-0156ee15c557"/>
    <ds:schemaRef ds:uri="http://purl.org/dc/elements/1.1/"/>
    <ds:schemaRef ds:uri="http://schemas.microsoft.com/office/2006/metadata/properties"/>
    <ds:schemaRef ds:uri="http://purl.org/dc/terms/"/>
    <ds:schemaRef ds:uri="e9f1f5d5-b6a0-4082-bf69-f24a49e3a92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1F3E92-8F8E-4D98-8672-9D20C5C6B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8180</CharactersWithSpaces>
  <SharedDoc>false</SharedDoc>
  <HLinks>
    <vt:vector size="246" baseType="variant"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_Toc380152345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_Toc380152344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_Toc380152343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_Toc380152342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_Toc380152341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_Toc380152340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_Toc380152339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_Toc380152338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_Toc380152337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_Toc380152336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_Toc380152335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_Toc380152334</vt:lpwstr>
      </vt:variant>
      <vt:variant>
        <vt:i4>721020</vt:i4>
      </vt:variant>
      <vt:variant>
        <vt:i4>105</vt:i4>
      </vt:variant>
      <vt:variant>
        <vt:i4>0</vt:i4>
      </vt:variant>
      <vt:variant>
        <vt:i4>5</vt:i4>
      </vt:variant>
      <vt:variant>
        <vt:lpwstr>mailto:website@tafesa.edu.au</vt:lpwstr>
      </vt:variant>
      <vt:variant>
        <vt:lpwstr/>
      </vt:variant>
      <vt:variant>
        <vt:i4>2031739</vt:i4>
      </vt:variant>
      <vt:variant>
        <vt:i4>102</vt:i4>
      </vt:variant>
      <vt:variant>
        <vt:i4>0</vt:i4>
      </vt:variant>
      <vt:variant>
        <vt:i4>5</vt:i4>
      </vt:variant>
      <vt:variant>
        <vt:lpwstr>http://in.tafesa.edu.au/web_services/intranets.php</vt:lpwstr>
      </vt:variant>
      <vt:variant>
        <vt:lpwstr>contributors</vt:lpwstr>
      </vt:variant>
      <vt:variant>
        <vt:i4>721020</vt:i4>
      </vt:variant>
      <vt:variant>
        <vt:i4>99</vt:i4>
      </vt:variant>
      <vt:variant>
        <vt:i4>0</vt:i4>
      </vt:variant>
      <vt:variant>
        <vt:i4>5</vt:i4>
      </vt:variant>
      <vt:variant>
        <vt:lpwstr>mailto:website@tafesa.edu.au</vt:lpwstr>
      </vt:variant>
      <vt:variant>
        <vt:lpwstr/>
      </vt:variant>
      <vt:variant>
        <vt:i4>2293842</vt:i4>
      </vt:variant>
      <vt:variant>
        <vt:i4>96</vt:i4>
      </vt:variant>
      <vt:variant>
        <vt:i4>0</vt:i4>
      </vt:variant>
      <vt:variant>
        <vt:i4>5</vt:i4>
      </vt:variant>
      <vt:variant>
        <vt:lpwstr>mailto:TDAY@tafesa.edu.au</vt:lpwstr>
      </vt:variant>
      <vt:variant>
        <vt:lpwstr/>
      </vt:variant>
      <vt:variant>
        <vt:i4>3997792</vt:i4>
      </vt:variant>
      <vt:variant>
        <vt:i4>93</vt:i4>
      </vt:variant>
      <vt:variant>
        <vt:i4>0</vt:i4>
      </vt:variant>
      <vt:variant>
        <vt:i4>5</vt:i4>
      </vt:variant>
      <vt:variant>
        <vt:lpwstr>mailto:TDAY%20submission%20template</vt:lpwstr>
      </vt:variant>
      <vt:variant>
        <vt:lpwstr/>
      </vt:variant>
      <vt:variant>
        <vt:i4>4063343</vt:i4>
      </vt:variant>
      <vt:variant>
        <vt:i4>90</vt:i4>
      </vt:variant>
      <vt:variant>
        <vt:i4>0</vt:i4>
      </vt:variant>
      <vt:variant>
        <vt:i4>5</vt:i4>
      </vt:variant>
      <vt:variant>
        <vt:lpwstr>http://in.tafesa.edu.au/policies/index.php</vt:lpwstr>
      </vt:variant>
      <vt:variant>
        <vt:lpwstr/>
      </vt:variant>
      <vt:variant>
        <vt:i4>3080265</vt:i4>
      </vt:variant>
      <vt:variant>
        <vt:i4>87</vt:i4>
      </vt:variant>
      <vt:variant>
        <vt:i4>0</vt:i4>
      </vt:variant>
      <vt:variant>
        <vt:i4>5</vt:i4>
      </vt:variant>
      <vt:variant>
        <vt:lpwstr>mailto:intranet@tafesa.edu.au</vt:lpwstr>
      </vt:variant>
      <vt:variant>
        <vt:lpwstr/>
      </vt:variant>
      <vt:variant>
        <vt:i4>1835069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_Toc379875013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_Toc379875012</vt:lpwstr>
      </vt:variant>
      <vt:variant>
        <vt:i4>1835069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_Toc379875012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_Toc379875011</vt:lpwstr>
      </vt:variant>
      <vt:variant>
        <vt:i4>1835069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_Toc379875010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_Toc379875009</vt:lpwstr>
      </vt:variant>
      <vt:variant>
        <vt:i4>1900605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_Toc379875008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_Toc379875007</vt:lpwstr>
      </vt:variant>
      <vt:variant>
        <vt:i4>1900605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_Toc379875008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_Toc379875006</vt:lpwstr>
      </vt:variant>
      <vt:variant>
        <vt:i4>1900605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_Toc379875005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_Toc379875004</vt:lpwstr>
      </vt:variant>
      <vt:variant>
        <vt:i4>1900605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_Toc379875003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_Toc379875002</vt:lpwstr>
      </vt:variant>
      <vt:variant>
        <vt:i4>1900605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_Toc379875001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_Toc379875000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_Toc379874999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_Toc379874998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_Toc379874997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_Toc379874996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_Toc379874995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_Toc379874994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in Hours Policy.docx</dc:title>
  <dc:creator/>
  <cp:lastModifiedBy/>
  <cp:revision>1</cp:revision>
  <dcterms:created xsi:type="dcterms:W3CDTF">2020-01-15T04:07:00Z</dcterms:created>
  <dcterms:modified xsi:type="dcterms:W3CDTF">2020-06-27T03:08:00Z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0x0101000401B6721499BD45AF12700D0BCC42AC</vt:lpwstr>
  </property>
  <property fmtid="{D5CDD505-2E9C-101B-9397-08002B2CF9AE}" pid="3" name="Objective-Id">
    <vt:lpwstr>A664121</vt:lpwstr>
  </property>
  <property fmtid="{D5CDD505-2E9C-101B-9397-08002B2CF9AE}" pid="4" name="Objective-Title">
    <vt:lpwstr>EXH0534 6.2.12 Variation in Hours Policy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2022-09-28T22:28:21Z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2022-09-28T22:28:27Z</vt:filetime>
  </property>
  <property fmtid="{D5CDD505-2E9C-101B-9397-08002B2CF9AE}" pid="10" name="Objective-ModificationStamp">
    <vt:filetime>2022-09-28T22:28:28Z</vt:filetime>
  </property>
  <property fmtid="{D5CDD505-2E9C-101B-9397-08002B2CF9AE}" pid="11" name="Objective-Owner">
    <vt:lpwstr>Ruby Cocks-Veale</vt:lpwstr>
  </property>
  <property fmtid="{D5CDD505-2E9C-101B-9397-08002B2CF9AE}" pid="12" name="Objective-Path">
    <vt:lpwstr>Objective Global Folder:ICAC File Plan:COMMISSIONER'S FUNCTION:Evaluations:Commissioner's Function - Evaluations - Evaluation of TAFE SA Exhibits</vt:lpwstr>
  </property>
  <property fmtid="{D5CDD505-2E9C-101B-9397-08002B2CF9AE}" pid="13" name="Objective-Parent">
    <vt:lpwstr>Commissioner's Function - Evaluations - Evaluation of TAFE SA Exhibits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vA962204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ICAC 2022/00370</vt:lpwstr>
  </property>
  <property fmtid="{D5CDD505-2E9C-101B-9397-08002B2CF9AE}" pid="20" name="Objective-Classification">
    <vt:lpwstr>PROTECTED</vt:lpwstr>
  </property>
  <property fmtid="{D5CDD505-2E9C-101B-9397-08002B2CF9AE}" pid="21" name="Objective-Caveats">
    <vt:lpwstr/>
  </property>
  <property fmtid="{D5CDD505-2E9C-101B-9397-08002B2CF9AE}" pid="22" name="Objective-Document Type">
    <vt:lpwstr>OTR - Other (for anything else)</vt:lpwstr>
  </property>
  <property fmtid="{D5CDD505-2E9C-101B-9397-08002B2CF9AE}" pid="23" name="Objective-Record Date">
    <vt:filetime>2022-09-28T13:30:00Z</vt:filetime>
  </property>
  <property fmtid="{D5CDD505-2E9C-101B-9397-08002B2CF9AE}" pid="24" name="Objective-Protective Marking">
    <vt:lpwstr>OFFICIAL</vt:lpwstr>
  </property>
  <property fmtid="{D5CDD505-2E9C-101B-9397-08002B2CF9AE}" pid="25" name="Objective-Date and Time Received">
    <vt:lpwstr/>
  </property>
  <property fmtid="{D5CDD505-2E9C-101B-9397-08002B2CF9AE}" pid="26" name="Objective-Intelligence Value">
    <vt:lpwstr>No</vt:lpwstr>
  </property>
  <property fmtid="{D5CDD505-2E9C-101B-9397-08002B2CF9AE}" pid="27" name="Objective-SharePoint Integration">
    <vt:lpwstr>No</vt:lpwstr>
  </property>
  <property fmtid="{D5CDD505-2E9C-101B-9397-08002B2CF9AE}" pid="28" name="Objective-Decision">
    <vt:lpwstr/>
  </property>
  <property fmtid="{D5CDD505-2E9C-101B-9397-08002B2CF9AE}" pid="29" name="Objective-Disclosure Required">
    <vt:lpwstr>No</vt:lpwstr>
  </property>
  <property fmtid="{D5CDD505-2E9C-101B-9397-08002B2CF9AE}" pid="30" name="Objective-Disclosure Date">
    <vt:lpwstr/>
  </property>
  <property fmtid="{D5CDD505-2E9C-101B-9397-08002B2CF9AE}" pid="31" name="Objective-Disclosure Name">
    <vt:lpwstr/>
  </property>
  <property fmtid="{D5CDD505-2E9C-101B-9397-08002B2CF9AE}" pid="32" name="Objective-Document Create Date">
    <vt:lpwstr/>
  </property>
  <property fmtid="{D5CDD505-2E9C-101B-9397-08002B2CF9AE}" pid="33" name="Objective-Document Created By">
    <vt:lpwstr/>
  </property>
  <property fmtid="{D5CDD505-2E9C-101B-9397-08002B2CF9AE}" pid="34" name="Objective-Export Status">
    <vt:lpwstr/>
  </property>
  <property fmtid="{D5CDD505-2E9C-101B-9397-08002B2CF9AE}" pid="35" name="Objective-Date Record Locked">
    <vt:lpwstr/>
  </property>
  <property fmtid="{D5CDD505-2E9C-101B-9397-08002B2CF9AE}" pid="36" name="Objective-Resolve ID">
    <vt:lpwstr/>
  </property>
  <property fmtid="{D5CDD505-2E9C-101B-9397-08002B2CF9AE}" pid="37" name="Objective-Physical File Exists">
    <vt:lpwstr/>
  </property>
</Properties>
</file>